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F93F4" w14:textId="77777777" w:rsidR="003077A6" w:rsidRDefault="003077A6"/>
    <w:p>
      <w:pPr>
        <w:pStyle w:val="Title"/>
        <w:jc w:val="center"/>
      </w:pPr>
      <w:r>
        <w:t>Complaints Procedure Policy</w:t>
      </w:r>
    </w:p>
    <w:p>
      <w:pPr>
        <w:jc w:val="center"/>
      </w:pPr>
      <w:r>
        <w:rPr>
          <w:b/>
        </w:rPr>
        <w:t>September 2026</w:t>
      </w:r>
    </w:p>
    <w:p>
      <w:pPr>
        <w:spacing w:after="20"/>
      </w:pPr>
      <w:r>
        <w:rPr>
          <w:b/>
        </w:rPr>
        <w:t xml:space="preserve">School: </w:t>
      </w:r>
      <w:r>
        <w:t>St Mary’s RC Primary School</w:t>
      </w:r>
    </w:p>
    <w:p>
      <w:pPr>
        <w:spacing w:after="20"/>
      </w:pPr>
      <w:r>
        <w:rPr>
          <w:b/>
        </w:rPr>
        <w:t xml:space="preserve">Headteacher: </w:t>
      </w:r>
      <w:r>
        <w:t>Mrs Katie Jones</w:t>
      </w:r>
    </w:p>
    <w:p>
      <w:pPr>
        <w:spacing w:after="20"/>
      </w:pPr>
      <w:r>
        <w:rPr>
          <w:b/>
        </w:rPr>
        <w:t xml:space="preserve">Approved by: </w:t>
      </w:r>
      <w:r>
        <w:t>Governing Board</w:t>
      </w:r>
    </w:p>
    <w:p>
      <w:pPr>
        <w:spacing w:after="20"/>
      </w:pPr>
      <w:r>
        <w:rPr>
          <w:b/>
        </w:rPr>
        <w:t xml:space="preserve">Review date: </w:t>
      </w:r>
      <w:r>
        <w:t>September 2027</w:t>
      </w:r>
    </w:p>
    <w:p>
      <w:pPr>
        <w:pStyle w:val="Heading1"/>
      </w:pPr>
      <w:r>
        <w:t>1. We care about what you think</w:t>
      </w:r>
    </w:p>
    <w:p>
      <w:pPr>
        <w:spacing w:after="100"/>
      </w:pPr>
      <w:r>
        <w:rPr>
          <w:i w:val="0"/>
        </w:rPr>
        <w:t>At St Mary’s, we want to work in partnership with our families and wider community. We know that, from time to time, parents, carers or others may have a worry, concern or complaint. We want people to feel able to talk to us openly so that we can understand what has happened, explain the school’s position and, wherever possible, find a way forward together.</w:t>
      </w:r>
    </w:p>
    <w:p>
      <w:pPr>
        <w:spacing w:after="100"/>
      </w:pPr>
      <w:r>
        <w:rPr>
          <w:i w:val="0"/>
        </w:rPr>
        <w:t>Most concerns are best resolved quickly through respectful conversation. We therefore encourage families to speak to us as soon as possible rather than allowing a concern to grow. We will listen, take concerns seriously, investigate fairly and explain what we have found as fully as confidentiality allows. If we have made a mistake or could have handled something better, we will acknowledge this and consider what needs to be put right.</w:t>
      </w:r>
    </w:p>
    <w:p>
      <w:pPr>
        <w:spacing w:after="100"/>
      </w:pPr>
      <w:r>
        <w:rPr>
          <w:i w:val="0"/>
        </w:rPr>
        <w:t>This procedure is intended to be simple, fair, non-adversarial and accessible. It applies to complaints about the school and services it provides where no separate statutory or other procedure applies.</w:t>
      </w:r>
    </w:p>
    <w:p>
      <w:pPr>
        <w:pStyle w:val="Heading1"/>
      </w:pPr>
      <w:r>
        <w:t>2. Our commitment</w:t>
      </w:r>
    </w:p>
    <w:p>
      <w:pPr>
        <w:spacing w:after="40"/>
        <w:ind w:left="317" w:hanging="202"/>
      </w:pPr>
      <w:r>
        <w:rPr>
          <w:b/>
        </w:rPr>
        <w:t xml:space="preserve">• </w:t>
      </w:r>
      <w:r>
        <w:t>We will treat concerns and complaints professionally, respectfully and fairly.</w:t>
      </w:r>
    </w:p>
    <w:p>
      <w:pPr>
        <w:spacing w:after="40"/>
        <w:ind w:left="317" w:hanging="202"/>
      </w:pPr>
      <w:r>
        <w:rPr>
          <w:b/>
        </w:rPr>
        <w:t xml:space="preserve">• </w:t>
      </w:r>
      <w:r>
        <w:t>We will try to resolve concerns at the earliest appropriate stage.</w:t>
      </w:r>
    </w:p>
    <w:p>
      <w:pPr>
        <w:spacing w:after="40"/>
        <w:ind w:left="317" w:hanging="202"/>
      </w:pPr>
      <w:r>
        <w:rPr>
          <w:b/>
        </w:rPr>
        <w:t xml:space="preserve">• </w:t>
      </w:r>
      <w:r>
        <w:t>We will listen to the different perspectives involved and establish a full and balanced picture before reaching conclusions.</w:t>
      </w:r>
    </w:p>
    <w:p>
      <w:pPr>
        <w:spacing w:after="40"/>
        <w:ind w:left="317" w:hanging="202"/>
      </w:pPr>
      <w:r>
        <w:rPr>
          <w:b/>
        </w:rPr>
        <w:t xml:space="preserve">• </w:t>
      </w:r>
      <w:r>
        <w:t>We will keep the complainant informed and explain any unavoidable delay.</w:t>
      </w:r>
    </w:p>
    <w:p>
      <w:pPr>
        <w:spacing w:after="40"/>
        <w:ind w:left="317" w:hanging="202"/>
      </w:pPr>
      <w:r>
        <w:rPr>
          <w:b/>
        </w:rPr>
        <w:t xml:space="preserve">• </w:t>
      </w:r>
      <w:r>
        <w:t>We will respect confidentiality and only share information with those who need it in order to consider the matter properly.</w:t>
      </w:r>
    </w:p>
    <w:p>
      <w:pPr>
        <w:spacing w:after="40"/>
        <w:ind w:left="317" w:hanging="202"/>
      </w:pPr>
      <w:r>
        <w:rPr>
          <w:b/>
        </w:rPr>
        <w:t xml:space="preserve">• </w:t>
      </w:r>
      <w:r>
        <w:t>We will make reasonable adjustments where required so that people can access and use this procedure.</w:t>
      </w:r>
    </w:p>
    <w:p>
      <w:pPr>
        <w:spacing w:after="40"/>
        <w:ind w:left="317" w:hanging="202"/>
      </w:pPr>
      <w:r>
        <w:rPr>
          <w:b/>
        </w:rPr>
        <w:t xml:space="preserve">• </w:t>
      </w:r>
      <w:r>
        <w:t>No pupil will be treated differently because a parent, carer or other person has raised a concern or complaint.</w:t>
      </w:r>
    </w:p>
    <w:p>
      <w:pPr>
        <w:pStyle w:val="Heading1"/>
      </w:pPr>
      <w:r>
        <w:t>3. Concern or complaint?</w:t>
      </w:r>
    </w:p>
    <w:p>
      <w:pPr>
        <w:spacing w:after="100"/>
      </w:pPr>
      <w:r>
        <w:rPr>
          <w:i w:val="0"/>
        </w:rPr>
        <w:t>A concern is an expression of worry or doubt about an issue for which reassurance or clarification is sought. A complaint is an expression of dissatisfaction, however made, about actions taken or a lack of action by the school.</w:t>
      </w:r>
    </w:p>
    <w:p>
      <w:pPr>
        <w:spacing w:after="100"/>
      </w:pPr>
      <w:r>
        <w:rPr>
          <w:i w:val="0"/>
        </w:rPr>
        <w:t>It is in everyone’s interests for concerns to be resolved at the earliest possible stage. We strongly encourage informal discussion where this is appropriate. However, a person who wishes to make a formal complaint may do so without first completing the informal stage.</w:t>
      </w:r>
    </w:p>
    <w:p>
      <w:pPr>
        <w:pStyle w:val="Heading1"/>
      </w:pPr>
      <w:r>
        <w:t>4. The route we encourage at St Mary’s</w:t>
      </w:r>
    </w:p>
    <w:p>
      <w:pPr>
        <w:pStyle w:val="Heading2"/>
      </w:pPr>
      <w:r>
        <w:t>Step 1 - Speak to the class teacher</w:t>
      </w:r>
    </w:p>
    <w:p>
      <w:pPr>
        <w:spacing w:after="100"/>
      </w:pPr>
      <w:r>
        <w:rPr>
          <w:i w:val="0"/>
        </w:rPr>
        <w:t>For most day-to-day concerns about a child’s learning, relationships, behaviour, routines or something that has happened in class, the class teacher should normally be the first point of contact. The teacher is usually closest to the situation and may be able to clarify or resolve the matter quickly.</w:t>
      </w:r>
    </w:p>
    <w:p>
      <w:pPr>
        <w:spacing w:after="100"/>
      </w:pPr>
      <w:r>
        <w:rPr>
          <w:i w:val="0"/>
        </w:rPr>
        <w:t>Parents and carers can speak to the teacher, email the school or ask the office to arrange a convenient conversation. The beginning and end of the school day can be very busy, so a separate appointment may be needed to give the concern proper time and attention.</w:t>
      </w:r>
    </w:p>
    <w:p>
      <w:pPr>
        <w:pStyle w:val="Heading2"/>
      </w:pPr>
      <w:r>
        <w:t>Step 2 - Talk to the Headteacher</w:t>
      </w:r>
    </w:p>
    <w:p>
      <w:pPr>
        <w:spacing w:after="100"/>
      </w:pPr>
      <w:r>
        <w:rPr>
          <w:i w:val="0"/>
        </w:rPr>
        <w:t>If the concern has not been resolved with the class teacher, is more serious, or it would not be appropriate to raise it with the teacher, parents and carers are encouraged to contact the Headteacher. This can be by email, telephone or by arranging a face-to-face meeting through the school office.</w:t>
      </w:r>
    </w:p>
    <w:p>
      <w:pPr>
        <w:spacing w:after="100"/>
      </w:pPr>
      <w:r>
        <w:rPr>
          <w:i w:val="0"/>
        </w:rPr>
        <w:t>At St Mary’s, we believe that open and respectful conversation is often the best way to resolve concerns. A meeting gives families the opportunity to explain their concern fully and gives the school the opportunity to listen, clarify the school’s position and work together towards a resolution.</w:t>
      </w:r>
    </w:p>
    <w:p>
      <w:pPr>
        <w:spacing w:after="100"/>
      </w:pPr>
      <w:r>
        <w:rPr>
          <w:i w:val="0"/>
        </w:rPr>
        <w:t>When a concern relates to an incident involving pupils, the school may need reasonable time to establish a full and balanced picture. This may include speaking with relevant pupils and members of staff, reviewing records or other available information and considering the different perspectives involved. We ask families to allow this process to take place before conclusions are reached.</w:t>
      </w:r>
    </w:p>
    <w:p>
      <w:pPr>
        <w:spacing w:after="100"/>
      </w:pPr>
      <w:r>
        <w:rPr>
          <w:i w:val="0"/>
        </w:rPr>
        <w:t>Following this, the Headteacher will explain what has been established as far as confidentiality permits and, where appropriate, propose or agree actions to resolve the concern. The school may not be able to share confidential information relating to another child, family or member of staff.</w:t>
      </w:r>
    </w:p>
    <w:p>
      <w:pPr>
        <w:pStyle w:val="Heading1"/>
      </w:pPr>
      <w:r>
        <w:t>5. Making a formal complaint</w:t>
      </w:r>
    </w:p>
    <w:p>
      <w:pPr>
        <w:spacing w:after="100"/>
      </w:pPr>
      <w:r>
        <w:rPr>
          <w:i w:val="0"/>
        </w:rPr>
        <w:t>If a complainant wishes to move directly to the formal procedure, or the matter has not been resolved informally, the following two-stage procedure will apply.</w:t>
      </w:r>
    </w:p>
    <w:p>
      <w:pPr>
        <w:spacing w:after="100"/>
      </w:pPr>
      <w:r>
        <w:rPr>
          <w:i w:val="0"/>
        </w:rPr>
        <w:t>Formal complaints should normally be made within three months of the incident or, where a series of related incidents has occurred, within three months of the last incident. The school will consider complaints outside this period where there are exceptional circumstances.</w:t>
      </w:r>
    </w:p>
    <w:p>
      <w:pPr>
        <w:spacing w:after="100"/>
      </w:pPr>
      <w:r>
        <w:rPr>
          <w:i w:val="0"/>
        </w:rPr>
        <w:t>A formal complaint should normally be submitted in writing or by email and should explain what has happened, why the complainant remains dissatisfied and what they feel might resolve the matter. Where a person has difficulty putting a complaint in writing, the school will provide reasonable support or accept another appropriate method of communication.</w:t>
      </w:r>
    </w:p>
    <w:p>
      <w:pPr>
        <w:pStyle w:val="Heading2"/>
      </w:pPr>
      <w:r>
        <w:t>Stage 1 - Formal investigation</w:t>
      </w:r>
    </w:p>
    <w:p>
      <w:pPr>
        <w:spacing w:after="100"/>
      </w:pPr>
      <w:r>
        <w:rPr>
          <w:i w:val="0"/>
        </w:rPr>
        <w:t>Formal complaints about members of staff or the operation of the school should be addressed to the Headteacher via the school office. The Headteacher, or another appropriate person appointed by the school where necessary, will investigate the complaint.</w:t>
      </w:r>
    </w:p>
    <w:p>
      <w:pPr>
        <w:spacing w:after="100"/>
      </w:pPr>
      <w:r>
        <w:rPr>
          <w:i w:val="0"/>
        </w:rPr>
        <w:t>The investigator will normally:</w:t>
      </w:r>
    </w:p>
    <w:p>
      <w:pPr>
        <w:spacing w:after="40"/>
        <w:ind w:left="317" w:hanging="202"/>
      </w:pPr>
      <w:r>
        <w:rPr>
          <w:b/>
        </w:rPr>
        <w:t xml:space="preserve">• </w:t>
      </w:r>
      <w:r>
        <w:t>acknowledge the formal complaint and clarify the issues to be considered;</w:t>
      </w:r>
    </w:p>
    <w:p>
      <w:pPr>
        <w:spacing w:after="40"/>
        <w:ind w:left="317" w:hanging="202"/>
      </w:pPr>
      <w:r>
        <w:rPr>
          <w:b/>
        </w:rPr>
        <w:t xml:space="preserve">• </w:t>
      </w:r>
      <w:r>
        <w:t>ask what outcome or resolution the complainant is seeking;</w:t>
      </w:r>
    </w:p>
    <w:p>
      <w:pPr>
        <w:spacing w:after="40"/>
        <w:ind w:left="317" w:hanging="202"/>
      </w:pPr>
      <w:r>
        <w:rPr>
          <w:b/>
        </w:rPr>
        <w:t xml:space="preserve">• </w:t>
      </w:r>
      <w:r>
        <w:t>speak to relevant staff, pupils or other people as appropriate;</w:t>
      </w:r>
    </w:p>
    <w:p>
      <w:pPr>
        <w:spacing w:after="40"/>
        <w:ind w:left="317" w:hanging="202"/>
      </w:pPr>
      <w:r>
        <w:rPr>
          <w:b/>
        </w:rPr>
        <w:t xml:space="preserve">• </w:t>
      </w:r>
      <w:r>
        <w:t>review relevant records, policies and other available evidence;</w:t>
      </w:r>
    </w:p>
    <w:p>
      <w:pPr>
        <w:spacing w:after="40"/>
        <w:ind w:left="317" w:hanging="202"/>
      </w:pPr>
      <w:r>
        <w:rPr>
          <w:b/>
        </w:rPr>
        <w:t xml:space="preserve">• </w:t>
      </w:r>
      <w:r>
        <w:t>consider the information fairly and reach conclusions on the balance of the information available;</w:t>
      </w:r>
    </w:p>
    <w:p>
      <w:pPr>
        <w:spacing w:after="40"/>
        <w:ind w:left="317" w:hanging="202"/>
      </w:pPr>
      <w:r>
        <w:rPr>
          <w:b/>
        </w:rPr>
        <w:t xml:space="preserve">• </w:t>
      </w:r>
      <w:r>
        <w:t>provide a written response setting out the conclusion, reasons for the decision and any action the school proposes to take, as far as confidentiality allows;</w:t>
      </w:r>
    </w:p>
    <w:p>
      <w:pPr>
        <w:spacing w:after="40"/>
        <w:ind w:left="317" w:hanging="202"/>
      </w:pPr>
      <w:r>
        <w:rPr>
          <w:b/>
        </w:rPr>
        <w:t xml:space="preserve">• </w:t>
      </w:r>
      <w:r>
        <w:t>explain how the complainant may request Stage 2 if they remain dissatisfied.</w:t>
      </w:r>
    </w:p>
    <w:p>
      <w:pPr>
        <w:spacing w:after="100"/>
      </w:pPr>
      <w:r>
        <w:rPr>
          <w:i w:val="0"/>
        </w:rPr>
        <w:t>The school will aim to complete Stage 1 within 20 school days of receiving the formal complaint. Where the matter is particularly complex or further investigation is required, the complainant will be informed of the reason for the delay and given a revised timescale.</w:t>
      </w:r>
    </w:p>
    <w:p>
      <w:pPr>
        <w:pStyle w:val="Heading2"/>
      </w:pPr>
      <w:r>
        <w:t>Stage 2 - Governing Board Complaints Review Committee</w:t>
      </w:r>
    </w:p>
    <w:p>
      <w:pPr>
        <w:spacing w:after="100"/>
      </w:pPr>
      <w:r>
        <w:rPr>
          <w:i w:val="0"/>
        </w:rPr>
        <w:t>If the complainant remains dissatisfied after Stage 1, they may request a review by a Complaints Review Committee of the Governing Board. The request should be made in writing to the Clerk to the Governing Board via the school within 20 school days of the Stage 1 outcome. The request should explain which matters remain unresolved and why.</w:t>
      </w:r>
    </w:p>
    <w:p>
      <w:pPr>
        <w:spacing w:after="100"/>
      </w:pPr>
      <w:r>
        <w:rPr>
          <w:i w:val="0"/>
        </w:rPr>
        <w:t>The committee will normally consist of three suitably skilled governors who have had no prior involvement in the complaint. Where necessary to ensure independence, the Governing Board may seek support from the local authority, diocese or governors from another school.</w:t>
      </w:r>
    </w:p>
    <w:p>
      <w:pPr>
        <w:spacing w:after="100"/>
      </w:pPr>
      <w:r>
        <w:rPr>
          <w:i w:val="0"/>
        </w:rPr>
        <w:t>The committee will consider the complaint afresh, the Stage 1 investigation and response, the relevant evidence and the representations of the complainant and school. The complainant may be accompanied by a relative or friend for support. Legal representation is not normally necessary, although there may be exceptional circumstances where it is appropriate.</w:t>
      </w:r>
    </w:p>
    <w:p>
      <w:pPr>
        <w:spacing w:after="100"/>
      </w:pPr>
      <w:r>
        <w:rPr>
          <w:i w:val="0"/>
        </w:rPr>
        <w:t>The Clerk will aim to convene the committee within 20 school days of receiving the Stage 2 request. Papers will normally be circulated in advance and the meeting will be held in private. Following the meeting, the complainant will receive the committee’s decision and reasons in writing, normally within 10 school days.</w:t>
      </w:r>
    </w:p>
    <w:p>
      <w:pPr>
        <w:spacing w:after="100"/>
      </w:pPr>
      <w:r>
        <w:rPr>
          <w:i w:val="0"/>
        </w:rPr>
        <w:t>The committee may uphold the complaint in whole or in part, dismiss it, make findings and/or make recommendations for action or school improvement. Stage 2 concludes the school’s complaints procedure.</w:t>
      </w:r>
    </w:p>
    <w:p>
      <w:pPr>
        <w:pStyle w:val="Heading1"/>
      </w:pPr>
      <w:r>
        <w:t>6. Who should deal with particular complaints?</w:t>
      </w:r>
    </w:p>
    <w:tbl>
      <w:tblPr>
        <w:tblW w:type="auto" w:w="0"/>
        <w:jc w:val="center"/>
        <w:tblLayout w:type="autofit"/>
        <w:tblLook w:firstColumn="1" w:firstRow="1" w:lastColumn="0" w:lastRow="0" w:noHBand="0" w:noVBand="1" w:val="04A0"/>
      </w:tblPr>
      <w:tblGrid>
        <w:gridCol w:w="4916"/>
        <w:gridCol w:w="4916"/>
      </w:tblGrid>
      <w:tr>
        <w:tc>
          <w:tcPr>
            <w:tcW w:type="dxa" w:w="4916"/>
            <w:shd w:fill="EAF0F8"/>
            <w:vAlign w:val="center"/>
          </w:tcPr>
          <w:p>
            <w:pPr>
              <w:spacing w:after="40"/>
            </w:pPr>
            <w:r>
              <w:rPr>
                <w:rFonts w:ascii="Arial" w:hAnsi="Arial"/>
                <w:b/>
                <w:sz w:val="18"/>
              </w:rPr>
              <w:t>Complaint about</w:t>
            </w:r>
          </w:p>
        </w:tc>
        <w:tc>
          <w:tcPr>
            <w:tcW w:type="dxa" w:w="4916"/>
            <w:shd w:fill="EAF0F8"/>
            <w:vAlign w:val="center"/>
          </w:tcPr>
          <w:p>
            <w:pPr>
              <w:spacing w:after="40"/>
            </w:pPr>
            <w:r>
              <w:rPr>
                <w:rFonts w:ascii="Arial" w:hAnsi="Arial"/>
                <w:b/>
                <w:sz w:val="18"/>
              </w:rPr>
              <w:t>Who will normally deal with it</w:t>
            </w:r>
          </w:p>
        </w:tc>
      </w:tr>
      <w:tr>
        <w:tc>
          <w:tcPr>
            <w:tcW w:type="dxa" w:w="4916"/>
            <w:vAlign w:val="center"/>
          </w:tcPr>
          <w:p>
            <w:pPr>
              <w:spacing w:after="40"/>
            </w:pPr>
            <w:r>
              <w:rPr>
                <w:rFonts w:ascii="Arial" w:hAnsi="Arial"/>
                <w:sz w:val="18"/>
              </w:rPr>
              <w:t>A day-to-day school matter</w:t>
            </w:r>
          </w:p>
        </w:tc>
        <w:tc>
          <w:tcPr>
            <w:tcW w:type="dxa" w:w="4916"/>
            <w:vAlign w:val="center"/>
          </w:tcPr>
          <w:p>
            <w:pPr>
              <w:spacing w:after="40"/>
            </w:pPr>
            <w:r>
              <w:rPr>
                <w:rFonts w:ascii="Arial" w:hAnsi="Arial"/>
                <w:sz w:val="18"/>
              </w:rPr>
              <w:t>Class teacher initially, then Headteacher if needed</w:t>
            </w:r>
          </w:p>
        </w:tc>
      </w:tr>
      <w:tr>
        <w:tc>
          <w:tcPr>
            <w:tcW w:type="dxa" w:w="4916"/>
            <w:vAlign w:val="center"/>
          </w:tcPr>
          <w:p>
            <w:pPr>
              <w:spacing w:after="40"/>
            </w:pPr>
            <w:r>
              <w:rPr>
                <w:rFonts w:ascii="Arial" w:hAnsi="Arial"/>
                <w:sz w:val="18"/>
              </w:rPr>
              <w:t>A member of staff</w:t>
            </w:r>
          </w:p>
        </w:tc>
        <w:tc>
          <w:tcPr>
            <w:tcW w:type="dxa" w:w="4916"/>
            <w:vAlign w:val="center"/>
          </w:tcPr>
          <w:p>
            <w:pPr>
              <w:spacing w:after="40"/>
            </w:pPr>
            <w:r>
              <w:rPr>
                <w:rFonts w:ascii="Arial" w:hAnsi="Arial"/>
                <w:sz w:val="18"/>
              </w:rPr>
              <w:t>Headteacher at Stage 1; impartial governor committee at Stage 2</w:t>
            </w:r>
          </w:p>
        </w:tc>
      </w:tr>
      <w:tr>
        <w:tc>
          <w:tcPr>
            <w:tcW w:type="dxa" w:w="4916"/>
            <w:vAlign w:val="center"/>
          </w:tcPr>
          <w:p>
            <w:pPr>
              <w:spacing w:after="40"/>
            </w:pPr>
            <w:r>
              <w:rPr>
                <w:rFonts w:ascii="Arial" w:hAnsi="Arial"/>
                <w:sz w:val="18"/>
              </w:rPr>
              <w:t>The Headteacher</w:t>
            </w:r>
          </w:p>
        </w:tc>
        <w:tc>
          <w:tcPr>
            <w:tcW w:type="dxa" w:w="4916"/>
            <w:vAlign w:val="center"/>
          </w:tcPr>
          <w:p>
            <w:pPr>
              <w:spacing w:after="40"/>
            </w:pPr>
            <w:r>
              <w:rPr>
                <w:rFonts w:ascii="Arial" w:hAnsi="Arial"/>
                <w:sz w:val="18"/>
              </w:rPr>
              <w:t>Chair of Governors or another suitably skilled impartial governor at Stage 1; impartial governor committee at Stage 2</w:t>
            </w:r>
          </w:p>
        </w:tc>
      </w:tr>
      <w:tr>
        <w:tc>
          <w:tcPr>
            <w:tcW w:type="dxa" w:w="4916"/>
            <w:vAlign w:val="center"/>
          </w:tcPr>
          <w:p>
            <w:pPr>
              <w:spacing w:after="40"/>
            </w:pPr>
            <w:r>
              <w:rPr>
                <w:rFonts w:ascii="Arial" w:hAnsi="Arial"/>
                <w:sz w:val="18"/>
              </w:rPr>
              <w:t>The Chair of Governors or an individual governor</w:t>
            </w:r>
          </w:p>
        </w:tc>
        <w:tc>
          <w:tcPr>
            <w:tcW w:type="dxa" w:w="4916"/>
            <w:vAlign w:val="center"/>
          </w:tcPr>
          <w:p>
            <w:pPr>
              <w:spacing w:after="40"/>
            </w:pPr>
            <w:r>
              <w:rPr>
                <w:rFonts w:ascii="Arial" w:hAnsi="Arial"/>
                <w:sz w:val="18"/>
              </w:rPr>
              <w:t>Clerk to the Governing Board, who will arrange an impartial Stage 1 consideration and Stage 2 review</w:t>
            </w:r>
          </w:p>
        </w:tc>
      </w:tr>
      <w:tr>
        <w:tc>
          <w:tcPr>
            <w:tcW w:type="dxa" w:w="4916"/>
            <w:vAlign w:val="center"/>
          </w:tcPr>
          <w:p>
            <w:pPr>
              <w:spacing w:after="40"/>
            </w:pPr>
            <w:r>
              <w:rPr>
                <w:rFonts w:ascii="Arial" w:hAnsi="Arial"/>
                <w:sz w:val="18"/>
              </w:rPr>
              <w:t>The whole Governing Board, or both Chair and Vice Chair</w:t>
            </w:r>
          </w:p>
        </w:tc>
        <w:tc>
          <w:tcPr>
            <w:tcW w:type="dxa" w:w="4916"/>
            <w:vAlign w:val="center"/>
          </w:tcPr>
          <w:p>
            <w:pPr>
              <w:spacing w:after="40"/>
            </w:pPr>
            <w:r>
              <w:rPr>
                <w:rFonts w:ascii="Arial" w:hAnsi="Arial"/>
                <w:sz w:val="18"/>
              </w:rPr>
              <w:t>Clerk to the Governing Board, who will arrange an appropriate independent process</w:t>
            </w:r>
          </w:p>
        </w:tc>
      </w:tr>
    </w:tbl>
    <w:p>
      <w:pPr>
        <w:spacing w:after="100"/>
      </w:pPr>
      <w:r>
        <w:rPr>
          <w:i w:val="0"/>
        </w:rPr>
        <w:t>Complainants should not approach individual governors informally about a complaint. Governors may later be required to consider the matter impartially at Stage 2.</w:t>
      </w:r>
    </w:p>
    <w:p>
      <w:pPr>
        <w:pStyle w:val="Heading1"/>
      </w:pPr>
      <w:r>
        <w:t>7. Matters covered by other procedures</w:t>
      </w:r>
    </w:p>
    <w:p>
      <w:pPr>
        <w:spacing w:after="100"/>
      </w:pPr>
      <w:r>
        <w:rPr>
          <w:i w:val="0"/>
        </w:rPr>
        <w:t>Some concerns are governed by other school policies, statutory procedures or external processes and therefore cannot be considered under this complaints procedure. Where this applies, the school will explain the appropriate route and, where possible, direct the complainant to the relevant policy or organisation.</w:t>
      </w:r>
    </w:p>
    <w:p>
      <w:pPr>
        <w:spacing w:after="100"/>
      </w:pPr>
      <w:r>
        <w:rPr>
          <w:i w:val="0"/>
        </w:rPr>
        <w:t>This may include:</w:t>
      </w:r>
    </w:p>
    <w:p>
      <w:pPr>
        <w:spacing w:after="40"/>
        <w:ind w:left="317" w:hanging="202"/>
      </w:pPr>
      <w:r>
        <w:rPr>
          <w:b/>
        </w:rPr>
        <w:t xml:space="preserve">• </w:t>
      </w:r>
      <w:r>
        <w:t>school admissions and admission appeals;</w:t>
      </w:r>
    </w:p>
    <w:p>
      <w:pPr>
        <w:spacing w:after="40"/>
        <w:ind w:left="317" w:hanging="202"/>
      </w:pPr>
      <w:r>
        <w:rPr>
          <w:b/>
        </w:rPr>
        <w:t xml:space="preserve">• </w:t>
      </w:r>
      <w:r>
        <w:t>suspensions and permanent exclusions, although complaints about the application of the school’s behaviour policy may fall within this procedure;</w:t>
      </w:r>
    </w:p>
    <w:p>
      <w:pPr>
        <w:spacing w:after="40"/>
        <w:ind w:left="317" w:hanging="202"/>
      </w:pPr>
      <w:r>
        <w:rPr>
          <w:b/>
        </w:rPr>
        <w:t xml:space="preserve">• </w:t>
      </w:r>
      <w:r>
        <w:t>statutory Education, Health and Care needs assessments and other local-authority SEND decisions;</w:t>
      </w:r>
    </w:p>
    <w:p>
      <w:pPr>
        <w:spacing w:after="40"/>
        <w:ind w:left="317" w:hanging="202"/>
      </w:pPr>
      <w:r>
        <w:rPr>
          <w:b/>
        </w:rPr>
        <w:t xml:space="preserve">• </w:t>
      </w:r>
      <w:r>
        <w:t>child protection matters that require a safeguarding investigation;</w:t>
      </w:r>
    </w:p>
    <w:p>
      <w:pPr>
        <w:spacing w:after="40"/>
        <w:ind w:left="317" w:hanging="202"/>
      </w:pPr>
      <w:r>
        <w:rPr>
          <w:b/>
        </w:rPr>
        <w:t xml:space="preserve">• </w:t>
      </w:r>
      <w:r>
        <w:t>staff grievances, disciplinary matters and whistleblowing;</w:t>
      </w:r>
    </w:p>
    <w:p>
      <w:pPr>
        <w:spacing w:after="40"/>
        <w:ind w:left="317" w:hanging="202"/>
      </w:pPr>
      <w:r>
        <w:rPr>
          <w:b/>
        </w:rPr>
        <w:t xml:space="preserve">• </w:t>
      </w:r>
      <w:r>
        <w:t>Freedom of Information and data protection matters;</w:t>
      </w:r>
    </w:p>
    <w:p>
      <w:pPr>
        <w:spacing w:after="40"/>
        <w:ind w:left="317" w:hanging="202"/>
      </w:pPr>
      <w:r>
        <w:rPr>
          <w:b/>
        </w:rPr>
        <w:t xml:space="preserve">• </w:t>
      </w:r>
      <w:r>
        <w:t>complaints about services provided by external organisations using the school premises, where the provider has its own complaints procedure.</w:t>
      </w:r>
    </w:p>
    <w:p>
      <w:pPr>
        <w:spacing w:after="100"/>
      </w:pPr>
      <w:r>
        <w:rPr>
          <w:i w:val="0"/>
        </w:rPr>
        <w:t>Relevant school policies are available on the school website where they are published. Copies can also be requested from the school office. These may include the Relationships and Behaviour Policy, SEND Policy and Information Report, Safeguarding and Child Protection Policy, Attendance Policy, Data Protection information and other relevant procedures.</w:t>
      </w:r>
    </w:p>
    <w:p>
      <w:pPr>
        <w:pStyle w:val="Heading1"/>
      </w:pPr>
      <w:r>
        <w:t>8. Safeguarding and serious allegations</w:t>
      </w:r>
    </w:p>
    <w:p>
      <w:pPr>
        <w:spacing w:after="100"/>
      </w:pPr>
      <w:r>
        <w:rPr>
          <w:i w:val="0"/>
        </w:rPr>
        <w:t>Where a concern indicates that a child may be at risk of harm, safeguarding procedures will take priority over this complaints procedure. The school will act in accordance with its Safeguarding and Child Protection Policy and current statutory guidance. Concerns or allegations about an adult working with children will be managed through the appropriate safeguarding and allegations procedures, including consultation with the Local Authority Designated Officer (LADO) where required.</w:t>
      </w:r>
    </w:p>
    <w:p>
      <w:pPr>
        <w:spacing w:after="100"/>
      </w:pPr>
      <w:r>
        <w:rPr>
          <w:i w:val="0"/>
        </w:rPr>
        <w:t>Allegations involving possible criminal activity, serious financial irregularity or other matters requiring investigation by an external agency may also need to be referred to the appropriate authority. The school complaints process may be paused where necessary while another investigation takes place.</w:t>
      </w:r>
    </w:p>
    <w:p>
      <w:pPr>
        <w:pStyle w:val="Heading1"/>
      </w:pPr>
      <w:r>
        <w:t>9. Confidentiality, pupils and staff</w:t>
      </w:r>
    </w:p>
    <w:p>
      <w:pPr>
        <w:spacing w:after="100"/>
      </w:pPr>
      <w:r>
        <w:rPr>
          <w:i w:val="0"/>
        </w:rPr>
        <w:t>Complaints will be handled with an appropriate level of confidentiality. Information will be shared only with those who need it to investigate or consider the complaint. Where a complaint involves another pupil or member of staff, the school may be unable to disclose personal information, disciplinary action or other confidential details.</w:t>
      </w:r>
    </w:p>
    <w:p>
      <w:pPr>
        <w:spacing w:after="100"/>
      </w:pPr>
      <w:r>
        <w:rPr>
          <w:i w:val="0"/>
        </w:rPr>
        <w:t>Where pupils are spoken to as part of an investigation, this will be done sensitively and in a manner appropriate to their age and needs. The school will seek to establish facts fairly rather than asking pupils to take sides.</w:t>
      </w:r>
    </w:p>
    <w:p>
      <w:pPr>
        <w:spacing w:after="100"/>
      </w:pPr>
      <w:r>
        <w:rPr>
          <w:i w:val="0"/>
        </w:rPr>
        <w:t>Details of ongoing complaints will not normally be shared with the whole Governing Board because governors may be needed to consider a Stage 2 review impartially.</w:t>
      </w:r>
    </w:p>
    <w:p>
      <w:pPr>
        <w:pStyle w:val="Heading1"/>
      </w:pPr>
      <w:r>
        <w:t>10. Reasonable adjustments and support</w:t>
      </w:r>
    </w:p>
    <w:p>
      <w:pPr>
        <w:spacing w:after="100"/>
      </w:pPr>
      <w:r>
        <w:rPr>
          <w:i w:val="0"/>
        </w:rPr>
        <w:t>The school will consider reasonable adjustments to enable complainants to access and complete this procedure. This may include help to put a complaint in writing, information in an alternative format, support with communication, an accessible meeting arrangement or allowing an appropriate third party to assist. Where a third party acts on behalf of a complainant, the school may ask for the complainant’s consent before sharing information.</w:t>
      </w:r>
    </w:p>
    <w:p>
      <w:pPr>
        <w:pStyle w:val="Heading1"/>
      </w:pPr>
      <w:r>
        <w:t>11. Anonymous, duplicate, serial or unreasonable complaints</w:t>
      </w:r>
    </w:p>
    <w:p>
      <w:pPr>
        <w:spacing w:after="100"/>
      </w:pPr>
      <w:r>
        <w:rPr>
          <w:i w:val="0"/>
        </w:rPr>
        <w:t>Anonymous complaints will not normally be investigated. However, the Headteacher and/or Chair of Governors will determine whether the seriousness of the issues raised means that investigation or other action is appropriate.</w:t>
      </w:r>
    </w:p>
    <w:p>
      <w:pPr>
        <w:spacing w:after="100"/>
      </w:pPr>
      <w:r>
        <w:rPr>
          <w:i w:val="0"/>
        </w:rPr>
        <w:t>A complainant will normally be given the opportunity to complete the school’s complaints procedure. A complaint will not be treated as serial or persistent simply because the complainant is dissatisfied, asks complex questions or communicates frequently.</w:t>
      </w:r>
    </w:p>
    <w:p>
      <w:pPr>
        <w:spacing w:after="100"/>
      </w:pPr>
      <w:r>
        <w:rPr>
          <w:i w:val="0"/>
        </w:rPr>
        <w:t>Where the school has completed its procedure and receives repeated correspondence about the same matter without significant new information, it may decide that the matter is closed and limit further responses. If a duplicate complaint about the same matter is received from another person, the school may explain that the matter has already been considered, subject to confidentiality, while considering any genuinely new issues raised.</w:t>
      </w:r>
    </w:p>
    <w:p>
      <w:pPr>
        <w:spacing w:after="100"/>
      </w:pPr>
      <w:r>
        <w:rPr>
          <w:i w:val="0"/>
        </w:rPr>
        <w:t>The school expects communication to remain respectful. Abusive, threatening, discriminatory, harassing or otherwise unreasonable behaviour may result in reasonable boundaries being placed on contact. Any such decision will be proportionate, recorded and communicated in writing. The school will seek appropriate advice where necessary.</w:t>
      </w:r>
    </w:p>
    <w:p>
      <w:pPr>
        <w:pStyle w:val="Heading1"/>
      </w:pPr>
      <w:r>
        <w:t>12. Social media and respectful communication</w:t>
      </w:r>
    </w:p>
    <w:p>
      <w:pPr>
        <w:spacing w:after="100"/>
      </w:pPr>
      <w:r>
        <w:rPr>
          <w:i w:val="0"/>
        </w:rPr>
        <w:t>The school recognises that people may express opinions publicly. However, we strongly encourage concerns about school to be raised directly with us so that we have an opportunity to understand and respond to them. Complainants are expected to respect the privacy and dignity of pupils, families, staff and governors and not to use social media or other communications to harass, threaten or make discriminatory comments about individuals.</w:t>
      </w:r>
    </w:p>
    <w:p>
      <w:pPr>
        <w:pStyle w:val="Heading1"/>
      </w:pPr>
      <w:r>
        <w:t>13. Records and learning from complaints</w:t>
      </w:r>
    </w:p>
    <w:p>
      <w:pPr>
        <w:spacing w:after="100"/>
      </w:pPr>
      <w:r>
        <w:rPr>
          <w:i w:val="0"/>
        </w:rPr>
        <w:t>The school will keep an appropriate record of formal complaints, the stage at which they were resolved, the outcome and any actions arising. Records will be stored securely and retained in accordance with the school’s data protection and records-retention arrangements.</w:t>
      </w:r>
    </w:p>
    <w:p>
      <w:pPr>
        <w:spacing w:after="100"/>
      </w:pPr>
      <w:r>
        <w:rPr>
          <w:i w:val="0"/>
        </w:rPr>
        <w:t>Complaints can provide useful information about school practice. Where appropriate, themes or learning from complaints may be used to improve policies, communication, systems or provision. This will be done without unnecessarily identifying individuals.</w:t>
      </w:r>
    </w:p>
    <w:p>
      <w:pPr>
        <w:pStyle w:val="Heading1"/>
      </w:pPr>
      <w:r>
        <w:t>14. Withdrawal of a complaint</w:t>
      </w:r>
    </w:p>
    <w:p>
      <w:pPr>
        <w:spacing w:after="100"/>
      </w:pPr>
      <w:r>
        <w:rPr>
          <w:i w:val="0"/>
        </w:rPr>
        <w:t>If a complainant wishes to withdraw their complaint, the school will ask them to confirm this in writing where possible. The school may nevertheless decide that an issue requires further consideration, particularly where safeguarding or another statutory duty is involved.</w:t>
      </w:r>
    </w:p>
    <w:p>
      <w:pPr>
        <w:pStyle w:val="Heading1"/>
      </w:pPr>
      <w:r>
        <w:t>15. After the school procedure</w:t>
      </w:r>
    </w:p>
    <w:p>
      <w:pPr>
        <w:spacing w:after="100"/>
      </w:pPr>
      <w:r>
        <w:rPr>
          <w:i w:val="0"/>
        </w:rPr>
        <w:t>Stage 2 concludes St Mary’s complaints procedure. If, after completing the school’s procedure, a complainant believes that the school has not handled the complaint in accordance with its published procedure, has prevented them from completing it, or has acted unlawfully or unreasonably in relation to its education duties, they may contact the Department for Education.</w:t>
      </w:r>
    </w:p>
    <w:p>
      <w:pPr>
        <w:spacing w:after="100"/>
      </w:pPr>
      <w:r>
        <w:rPr>
          <w:i w:val="0"/>
        </w:rPr>
        <w:t>The Department for Education will not normally reinvestigate the substance of a complaint or substitute its decision for that of the school. Its role is principally to consider whether the school has followed education legislation and its published complaints procedure appropriately.</w:t>
      </w:r>
    </w:p>
    <w:p>
      <w:pPr>
        <w:pStyle w:val="Heading1"/>
      </w:pPr>
      <w:r>
        <w:t>16. Policy basis and review</w:t>
      </w:r>
    </w:p>
    <w:p>
      <w:pPr>
        <w:spacing w:after="100"/>
      </w:pPr>
      <w:r>
        <w:rPr>
          <w:i w:val="0"/>
        </w:rPr>
        <w:t>This policy has been prepared with regard to section 29 of the Education Act 2002, the Equality Act 2010, data protection legislation and Department for Education guidance on complaints procedures for maintained schools. The Governing Board is responsible for establishing and publishing the school’s complaints procedure.</w:t>
      </w:r>
    </w:p>
    <w:p>
      <w:pPr>
        <w:spacing w:after="100"/>
      </w:pPr>
      <w:r>
        <w:rPr>
          <w:i w:val="0"/>
        </w:rPr>
        <w:t>This policy will be reviewed annually, or sooner where legislation, statutory guidance or the needs of the school require it.</w:t>
      </w:r>
    </w:p>
    <w:p>
      <w:pPr>
        <w:spacing w:after="100"/>
      </w:pPr>
      <w:r>
        <w:rPr>
          <w:i w:val="0"/>
        </w:rPr>
      </w:r>
    </w:p>
    <w:p>
      <w:r>
        <w:rPr>
          <w:b/>
        </w:rPr>
        <w:t xml:space="preserve">Approved by the Governing Board: </w:t>
      </w:r>
      <w:r/>
    </w:p>
    <w:p>
      <w:r>
        <w:rPr>
          <w:b/>
        </w:rPr>
        <w:t xml:space="preserve">Date approved: </w:t>
      </w:r>
      <w:r/>
    </w:p>
    <w:p>
      <w:r>
        <w:rPr>
          <w:b/>
        </w:rPr>
        <w:t xml:space="preserve">Review date: </w:t>
      </w:r>
      <w:r>
        <w:t>September 2027</w:t>
      </w:r>
    </w:p>
    <w:sectPr w:rsidR="003077A6" w:rsidSect="003077A6">
      <w:headerReference w:type="default" r:id="rId6"/>
      <w:pgSz w:w="11906" w:h="16838"/>
      <w:pgMar w:top="2232" w:right="1037" w:bottom="936" w:left="103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FBC3D" w14:textId="77777777" w:rsidR="003077A6" w:rsidRDefault="003077A6" w:rsidP="003077A6">
      <w:pPr>
        <w:spacing w:after="0" w:line="240" w:lineRule="auto"/>
      </w:pPr>
      <w:r>
        <w:separator/>
      </w:r>
    </w:p>
  </w:endnote>
  <w:endnote w:type="continuationSeparator" w:id="0">
    <w:p w14:paraId="7CE25A94" w14:textId="77777777" w:rsidR="003077A6" w:rsidRDefault="003077A6" w:rsidP="00307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6145B" w14:textId="77777777" w:rsidR="003077A6" w:rsidRDefault="003077A6" w:rsidP="003077A6">
      <w:pPr>
        <w:spacing w:after="0" w:line="240" w:lineRule="auto"/>
      </w:pPr>
      <w:r>
        <w:separator/>
      </w:r>
    </w:p>
  </w:footnote>
  <w:footnote w:type="continuationSeparator" w:id="0">
    <w:p w14:paraId="35396BAF" w14:textId="77777777" w:rsidR="003077A6" w:rsidRDefault="003077A6" w:rsidP="00307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C69C" w14:textId="58DC2B7D" w:rsidR="003077A6" w:rsidRPr="003077A6" w:rsidRDefault="003077A6" w:rsidP="003077A6">
    <w:pPr>
      <w:pStyle w:val="Header"/>
      <w:jc w:val="center"/>
    </w:pPr>
    <w:r w:rsidRPr="003077A6">
      <w:drawing>
        <wp:inline distT="0" distB="0" distL="0" distR="0" wp14:anchorId="117D4530" wp14:editId="6915A545">
          <wp:extent cx="5731510" cy="886460"/>
          <wp:effectExtent l="0" t="0" r="2540" b="8890"/>
          <wp:docPr id="2" name="Picture 1">
            <a:extLst xmlns:a="http://schemas.openxmlformats.org/drawingml/2006/main">
              <a:ext uri="{FF2B5EF4-FFF2-40B4-BE49-F238E27FC236}">
                <a16:creationId xmlns:a16="http://schemas.microsoft.com/office/drawing/2014/main" id="{D034041E-7492-F4A5-4065-97399CE6F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034041E-7492-F4A5-4065-97399CE6FB14}"/>
                      </a:ext>
                    </a:extLst>
                  </pic:cNvPr>
                  <pic:cNvPicPr>
                    <a:picLocks noChangeAspect="1"/>
                  </pic:cNvPicPr>
                </pic:nvPicPr>
                <pic:blipFill>
                  <a:blip r:embed="rId1">
                    <a:extLst>
                      <a:ext uri="{28A0092B-C50C-407E-A947-70E740481C1C}">
                        <a14:useLocalDpi xmlns:a14="http://schemas.microsoft.com/office/drawing/2010/main" val="0"/>
                      </a:ext>
                    </a:extLst>
                  </a:blip>
                  <a:srcRect b="66803"/>
                  <a:stretch/>
                </pic:blipFill>
                <pic:spPr>
                  <a:xfrm>
                    <a:off x="0" y="0"/>
                    <a:ext cx="5731510" cy="886460"/>
                  </a:xfrm>
                  <a:prstGeom prst="rect">
                    <a:avLst/>
                  </a:prstGeom>
                </pic:spPr>
              </pic:pic>
            </a:graphicData>
          </a:graphic>
        </wp:inline>
      </w:drawing>
    </w:r>
  </w:p>
  <w:p w14:paraId="0D1E94C0" w14:textId="77777777" w:rsidR="003077A6" w:rsidRDefault="003077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7A6"/>
    <w:rsid w:val="002555E4"/>
    <w:rsid w:val="002A63AD"/>
    <w:rsid w:val="0030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E9C9D"/>
  <w15:chartTrackingRefBased/>
  <w15:docId w15:val="{848A996A-602D-4BB9-BFD9-08324B71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52" w:lineRule="auto"/>
    </w:pPr>
    <w:rPr>
      <w:rFonts w:ascii="Arial" w:hAnsi="Arial"/>
      <w:sz w:val="20"/>
    </w:rPr>
  </w:style>
  <w:style w:type="paragraph" w:styleId="Heading1">
    <w:name w:val="heading 1"/>
    <w:basedOn w:val="Normal"/>
    <w:next w:val="Normal"/>
    <w:link w:val="Heading1Char"/>
    <w:uiPriority w:val="9"/>
    <w:qFormat/>
    <w:rsid w:val="003077A6"/>
    <w:pPr>
      <w:keepNext/>
      <w:keepLines/>
      <w:spacing w:before="180" w:after="80"/>
      <w:outlineLvl w:val="0"/>
    </w:pPr>
    <w:rPr>
      <w:rFonts w:asciiTheme="majorHAnsi" w:eastAsiaTheme="majorEastAsia" w:hAnsiTheme="majorHAnsi" w:cstheme="majorBidi" w:ascii="Arial" w:hAnsi="Arial"/>
      <w:b/>
      <w:color w:val="0F4761" w:themeColor="accent1" w:themeShade="BF"/>
      <w:sz w:val="26"/>
      <w:szCs w:val="40"/>
    </w:rPr>
  </w:style>
  <w:style w:type="paragraph" w:styleId="Heading2">
    <w:name w:val="heading 2"/>
    <w:basedOn w:val="Normal"/>
    <w:next w:val="Normal"/>
    <w:link w:val="Heading2Char"/>
    <w:uiPriority w:val="9"/>
    <w:semiHidden/>
    <w:unhideWhenUsed/>
    <w:qFormat/>
    <w:rsid w:val="003077A6"/>
    <w:pPr>
      <w:keepNext/>
      <w:keepLines/>
      <w:spacing w:before="180" w:after="80"/>
      <w:outlineLvl w:val="1"/>
    </w:pPr>
    <w:rPr>
      <w:rFonts w:asciiTheme="majorHAnsi" w:eastAsiaTheme="majorEastAsia" w:hAnsiTheme="majorHAnsi" w:cstheme="majorBidi" w:ascii="Arial" w:hAnsi="Arial"/>
      <w:b/>
      <w:color w:val="0F4761" w:themeColor="accent1" w:themeShade="BF"/>
      <w:sz w:val="22"/>
      <w:szCs w:val="32"/>
    </w:rPr>
  </w:style>
  <w:style w:type="paragraph" w:styleId="Heading3">
    <w:name w:val="heading 3"/>
    <w:basedOn w:val="Normal"/>
    <w:next w:val="Normal"/>
    <w:link w:val="Heading3Char"/>
    <w:uiPriority w:val="9"/>
    <w:semiHidden/>
    <w:unhideWhenUsed/>
    <w:qFormat/>
    <w:rsid w:val="00307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7A6"/>
    <w:rPr>
      <w:rFonts w:eastAsiaTheme="majorEastAsia" w:cstheme="majorBidi"/>
      <w:color w:val="272727" w:themeColor="text1" w:themeTint="D8"/>
    </w:rPr>
  </w:style>
  <w:style w:type="paragraph" w:styleId="Title">
    <w:name w:val="Title"/>
    <w:basedOn w:val="Normal"/>
    <w:next w:val="Normal"/>
    <w:link w:val="TitleChar"/>
    <w:uiPriority w:val="10"/>
    <w:qFormat/>
    <w:rsid w:val="003077A6"/>
    <w:pPr>
      <w:spacing w:after="80" w:line="240" w:lineRule="auto"/>
      <w:contextualSpacing/>
    </w:pPr>
    <w:rPr>
      <w:rFonts w:asciiTheme="majorHAnsi" w:eastAsiaTheme="majorEastAsia" w:hAnsiTheme="majorHAnsi" w:cstheme="majorBidi" w:ascii="Arial" w:hAnsi="Arial"/>
      <w:b/>
      <w:spacing w:val="-10"/>
      <w:kern w:val="28"/>
      <w:sz w:val="36"/>
      <w:szCs w:val="56"/>
    </w:rPr>
  </w:style>
  <w:style w:type="character" w:customStyle="1" w:styleId="TitleChar">
    <w:name w:val="Title Char"/>
    <w:basedOn w:val="DefaultParagraphFont"/>
    <w:link w:val="Title"/>
    <w:uiPriority w:val="10"/>
    <w:rsid w:val="00307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7A6"/>
    <w:pPr>
      <w:spacing w:before="160"/>
      <w:jc w:val="center"/>
    </w:pPr>
    <w:rPr>
      <w:i/>
      <w:iCs/>
      <w:color w:val="404040" w:themeColor="text1" w:themeTint="BF"/>
    </w:rPr>
  </w:style>
  <w:style w:type="character" w:customStyle="1" w:styleId="QuoteChar">
    <w:name w:val="Quote Char"/>
    <w:basedOn w:val="DefaultParagraphFont"/>
    <w:link w:val="Quote"/>
    <w:uiPriority w:val="29"/>
    <w:rsid w:val="003077A6"/>
    <w:rPr>
      <w:i/>
      <w:iCs/>
      <w:color w:val="404040" w:themeColor="text1" w:themeTint="BF"/>
    </w:rPr>
  </w:style>
  <w:style w:type="paragraph" w:styleId="ListParagraph">
    <w:name w:val="List Paragraph"/>
    <w:basedOn w:val="Normal"/>
    <w:uiPriority w:val="34"/>
    <w:qFormat/>
    <w:rsid w:val="003077A6"/>
    <w:pPr>
      <w:ind w:left="720"/>
      <w:contextualSpacing/>
    </w:pPr>
  </w:style>
  <w:style w:type="character" w:styleId="IntenseEmphasis">
    <w:name w:val="Intense Emphasis"/>
    <w:basedOn w:val="DefaultParagraphFont"/>
    <w:uiPriority w:val="21"/>
    <w:qFormat/>
    <w:rsid w:val="003077A6"/>
    <w:rPr>
      <w:i/>
      <w:iCs/>
      <w:color w:val="0F4761" w:themeColor="accent1" w:themeShade="BF"/>
    </w:rPr>
  </w:style>
  <w:style w:type="paragraph" w:styleId="IntenseQuote">
    <w:name w:val="Intense Quote"/>
    <w:basedOn w:val="Normal"/>
    <w:next w:val="Normal"/>
    <w:link w:val="IntenseQuoteChar"/>
    <w:uiPriority w:val="30"/>
    <w:qFormat/>
    <w:rsid w:val="00307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7A6"/>
    <w:rPr>
      <w:i/>
      <w:iCs/>
      <w:color w:val="0F4761" w:themeColor="accent1" w:themeShade="BF"/>
    </w:rPr>
  </w:style>
  <w:style w:type="character" w:styleId="IntenseReference">
    <w:name w:val="Intense Reference"/>
    <w:basedOn w:val="DefaultParagraphFont"/>
    <w:uiPriority w:val="32"/>
    <w:qFormat/>
    <w:rsid w:val="003077A6"/>
    <w:rPr>
      <w:b/>
      <w:bCs/>
      <w:smallCaps/>
      <w:color w:val="0F4761" w:themeColor="accent1" w:themeShade="BF"/>
      <w:spacing w:val="5"/>
    </w:rPr>
  </w:style>
  <w:style w:type="paragraph" w:styleId="Header">
    <w:name w:val="header"/>
    <w:basedOn w:val="Normal"/>
    <w:link w:val="HeaderChar"/>
    <w:uiPriority w:val="99"/>
    <w:unhideWhenUsed/>
    <w:rsid w:val="00307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7A6"/>
  </w:style>
  <w:style w:type="paragraph" w:styleId="Footer">
    <w:name w:val="footer"/>
    <w:basedOn w:val="Normal"/>
    <w:link w:val="FooterChar"/>
    <w:uiPriority w:val="99"/>
    <w:unhideWhenUsed/>
    <w:rsid w:val="00307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53338">
      <w:bodyDiv w:val="1"/>
      <w:marLeft w:val="0"/>
      <w:marRight w:val="0"/>
      <w:marTop w:val="0"/>
      <w:marBottom w:val="0"/>
      <w:divBdr>
        <w:top w:val="none" w:sz="0" w:space="0" w:color="auto"/>
        <w:left w:val="none" w:sz="0" w:space="0" w:color="auto"/>
        <w:bottom w:val="none" w:sz="0" w:space="0" w:color="auto"/>
        <w:right w:val="none" w:sz="0" w:space="0" w:color="auto"/>
      </w:divBdr>
    </w:div>
    <w:div w:id="141539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2026-08-28T10:46:00Z</dcterms:created>
  <dcterms:modified xsi:type="dcterms:W3CDTF">2026-08-28T14:25:00Z</dcterms:modified>
</cp:coreProperties>
</file>