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widowControl/>
        <w:jc w:val="center"/>
      </w:pPr>
      <w:r>
        <w:t>PSHE, Relationships and Sex Education Policy</w:t>
      </w:r>
    </w:p>
    <w:p>
      <w:pPr>
        <w:pStyle w:val="Subtitle"/>
        <w:widowControl/>
        <w:jc w:val="center"/>
      </w:pPr>
      <w:r>
        <w:t>St Mary’s RC Primary School, Chipping  |  For implementation from September 2026</w:t>
      </w:r>
    </w:p>
    <w:p>
      <w:pPr>
        <w:widowControl/>
        <w:spacing w:after="280"/>
        <w:jc w:val="center"/>
      </w:pPr>
      <w:r>
        <w:rPr>
          <w:b/>
          <w:color w:val="003B70"/>
          <w:sz w:val="23"/>
        </w:rPr>
        <w:t>Rooted in Love  •  Faith in Action  •  Learning for Life</w:t>
      </w:r>
    </w:p>
    <w:tbl>
      <w:tblPr>
        <w:tblW w:type="auto" w:w="0"/>
        <w:jc w:val="center"/>
        <w:tblLayout w:type="fixed"/>
        <w:tblLook w:firstColumn="1" w:firstRow="1" w:lastColumn="0" w:lastRow="0" w:noHBand="0" w:noVBand="1" w:val="04A0"/>
      </w:tblPr>
      <w:tblGrid>
        <w:gridCol w:w="4904"/>
        <w:gridCol w:w="4904"/>
      </w:tblGrid>
      <w:tr>
        <w:tc>
          <w:tcPr>
            <w:tcW w:type="dxa" w:w="2835"/>
            <w:tcMar>
              <w:top w:w="90" w:type="dxa"/>
              <w:start w:w="120" w:type="dxa"/>
              <w:bottom w:w="90" w:type="dxa"/>
              <w:end w:w="120" w:type="dxa"/>
            </w:tcMar>
            <w:vAlign w:val="center"/>
            <w:shd w:fill="003B70"/>
          </w:tcPr>
          <w:p>
            <w:pPr>
              <w:spacing w:after="0"/>
            </w:pPr>
            <w:r>
              <w:rPr>
                <w:b/>
                <w:color w:val="FFFFFF"/>
              </w:rPr>
              <w:t>Policy owner</w:t>
            </w:r>
          </w:p>
        </w:tc>
        <w:tc>
          <w:tcPr>
            <w:tcW w:type="dxa" w:w="6860"/>
            <w:tcMar>
              <w:top w:w="90" w:type="dxa"/>
              <w:start w:w="120" w:type="dxa"/>
              <w:bottom w:w="90" w:type="dxa"/>
              <w:end w:w="120" w:type="dxa"/>
            </w:tcMar>
            <w:vAlign w:val="center"/>
            <w:shd w:fill="EAF2F8"/>
          </w:tcPr>
          <w:p>
            <w:pPr>
              <w:spacing w:after="0"/>
            </w:pPr>
            <w:r>
              <w:rPr>
                <w:b w:val="0"/>
                <w:color w:val="1F2933"/>
              </w:rPr>
              <w:t>Governing Body</w:t>
            </w:r>
          </w:p>
        </w:tc>
      </w:tr>
      <w:tr>
        <w:tc>
          <w:tcPr>
            <w:tcW w:type="dxa" w:w="2835"/>
            <w:tcMar>
              <w:top w:w="90" w:type="dxa"/>
              <w:start w:w="120" w:type="dxa"/>
              <w:bottom w:w="90" w:type="dxa"/>
              <w:end w:w="120" w:type="dxa"/>
            </w:tcMar>
            <w:vAlign w:val="center"/>
            <w:shd w:fill="003B70"/>
          </w:tcPr>
          <w:p>
            <w:pPr>
              <w:spacing w:after="0"/>
            </w:pPr>
            <w:r>
              <w:rPr>
                <w:b/>
                <w:color w:val="FFFFFF"/>
              </w:rPr>
              <w:t>Operational lead</w:t>
            </w:r>
          </w:p>
        </w:tc>
        <w:tc>
          <w:tcPr>
            <w:tcW w:type="dxa" w:w="6860"/>
            <w:tcMar>
              <w:top w:w="90" w:type="dxa"/>
              <w:start w:w="120" w:type="dxa"/>
              <w:bottom w:w="90" w:type="dxa"/>
              <w:end w:w="120" w:type="dxa"/>
            </w:tcMar>
            <w:vAlign w:val="center"/>
            <w:shd w:fill="FFFFFF"/>
          </w:tcPr>
          <w:p>
            <w:pPr>
              <w:spacing w:after="0"/>
            </w:pPr>
            <w:r>
              <w:rPr>
                <w:b w:val="0"/>
                <w:color w:val="1F2933"/>
              </w:rPr>
              <w:t>Headteacher: Mrs Katie Jones</w:t>
            </w:r>
          </w:p>
        </w:tc>
      </w:tr>
      <w:tr>
        <w:tc>
          <w:tcPr>
            <w:tcW w:type="dxa" w:w="2835"/>
            <w:tcMar>
              <w:top w:w="90" w:type="dxa"/>
              <w:start w:w="120" w:type="dxa"/>
              <w:bottom w:w="90" w:type="dxa"/>
              <w:end w:w="120" w:type="dxa"/>
            </w:tcMar>
            <w:vAlign w:val="center"/>
            <w:shd w:fill="003B70"/>
          </w:tcPr>
          <w:p>
            <w:pPr>
              <w:spacing w:after="0"/>
            </w:pPr>
            <w:r>
              <w:rPr>
                <w:b/>
                <w:color w:val="FFFFFF"/>
              </w:rPr>
              <w:t>PSHE/RSE subject leader</w:t>
            </w:r>
          </w:p>
        </w:tc>
        <w:tc>
          <w:tcPr>
            <w:tcW w:type="dxa" w:w="6860"/>
            <w:tcMar>
              <w:top w:w="90" w:type="dxa"/>
              <w:start w:w="120" w:type="dxa"/>
              <w:bottom w:w="90" w:type="dxa"/>
              <w:end w:w="120" w:type="dxa"/>
            </w:tcMar>
            <w:vAlign w:val="center"/>
            <w:shd w:fill="EAF2F8"/>
          </w:tcPr>
          <w:p>
            <w:pPr>
              <w:spacing w:after="0"/>
            </w:pPr>
            <w:r>
              <w:rPr>
                <w:b w:val="0"/>
                <w:color w:val="1F2933"/>
              </w:rPr>
              <w:t>To be confirmed</w:t>
            </w:r>
          </w:p>
        </w:tc>
      </w:tr>
      <w:tr>
        <w:tc>
          <w:tcPr>
            <w:tcW w:type="dxa" w:w="2835"/>
            <w:tcMar>
              <w:top w:w="90" w:type="dxa"/>
              <w:start w:w="120" w:type="dxa"/>
              <w:bottom w:w="90" w:type="dxa"/>
              <w:end w:w="120" w:type="dxa"/>
            </w:tcMar>
            <w:vAlign w:val="center"/>
            <w:shd w:fill="003B70"/>
          </w:tcPr>
          <w:p>
            <w:pPr>
              <w:spacing w:after="0"/>
            </w:pPr>
            <w:r>
              <w:rPr>
                <w:b/>
                <w:color w:val="FFFFFF"/>
              </w:rPr>
              <w:t>Approved by</w:t>
            </w:r>
          </w:p>
        </w:tc>
        <w:tc>
          <w:tcPr>
            <w:tcW w:type="dxa" w:w="6860"/>
            <w:tcMar>
              <w:top w:w="90" w:type="dxa"/>
              <w:start w:w="120" w:type="dxa"/>
              <w:bottom w:w="90" w:type="dxa"/>
              <w:end w:w="120" w:type="dxa"/>
            </w:tcMar>
            <w:vAlign w:val="center"/>
            <w:shd w:fill="FFFFFF"/>
          </w:tcPr>
          <w:p>
            <w:pPr>
              <w:spacing w:after="0"/>
            </w:pPr>
            <w:r>
              <w:rPr>
                <w:b w:val="0"/>
                <w:color w:val="1F2933"/>
              </w:rPr>
              <w:t>Governing Body – approval date to be completed</w:t>
            </w:r>
          </w:p>
        </w:tc>
      </w:tr>
      <w:tr>
        <w:tc>
          <w:tcPr>
            <w:tcW w:type="dxa" w:w="2835"/>
            <w:tcMar>
              <w:top w:w="90" w:type="dxa"/>
              <w:start w:w="120" w:type="dxa"/>
              <w:bottom w:w="90" w:type="dxa"/>
              <w:end w:w="120" w:type="dxa"/>
            </w:tcMar>
            <w:vAlign w:val="center"/>
            <w:shd w:fill="003B70"/>
          </w:tcPr>
          <w:p>
            <w:pPr>
              <w:spacing w:after="0"/>
            </w:pPr>
            <w:r>
              <w:rPr>
                <w:b/>
                <w:color w:val="FFFFFF"/>
              </w:rPr>
              <w:t>Review cycle</w:t>
            </w:r>
          </w:p>
        </w:tc>
        <w:tc>
          <w:tcPr>
            <w:tcW w:type="dxa" w:w="6860"/>
            <w:tcMar>
              <w:top w:w="90" w:type="dxa"/>
              <w:start w:w="120" w:type="dxa"/>
              <w:bottom w:w="90" w:type="dxa"/>
              <w:end w:w="120" w:type="dxa"/>
            </w:tcMar>
            <w:vAlign w:val="center"/>
            <w:shd w:fill="EAF2F8"/>
          </w:tcPr>
          <w:p>
            <w:pPr>
              <w:spacing w:after="0"/>
            </w:pPr>
            <w:r>
              <w:rPr>
                <w:b w:val="0"/>
                <w:color w:val="1F2933"/>
              </w:rPr>
              <w:t>Every two years, or sooner following statutory, diocesan or curriculum change</w:t>
            </w:r>
          </w:p>
        </w:tc>
      </w:tr>
      <w:tr>
        <w:tc>
          <w:tcPr>
            <w:tcW w:type="dxa" w:w="2835"/>
            <w:tcMar>
              <w:top w:w="90" w:type="dxa"/>
              <w:start w:w="120" w:type="dxa"/>
              <w:bottom w:w="90" w:type="dxa"/>
              <w:end w:w="120" w:type="dxa"/>
            </w:tcMar>
            <w:vAlign w:val="center"/>
            <w:shd w:fill="003B70"/>
          </w:tcPr>
          <w:p>
            <w:pPr>
              <w:spacing w:after="0"/>
            </w:pPr>
            <w:r>
              <w:rPr>
                <w:b/>
                <w:color w:val="FFFFFF"/>
              </w:rPr>
              <w:t>Next review</w:t>
            </w:r>
          </w:p>
        </w:tc>
        <w:tc>
          <w:tcPr>
            <w:tcW w:type="dxa" w:w="6860"/>
            <w:tcMar>
              <w:top w:w="90" w:type="dxa"/>
              <w:start w:w="120" w:type="dxa"/>
              <w:bottom w:w="90" w:type="dxa"/>
              <w:end w:w="120" w:type="dxa"/>
            </w:tcMar>
            <w:vAlign w:val="center"/>
            <w:shd w:fill="FFFFFF"/>
          </w:tcPr>
          <w:p>
            <w:pPr>
              <w:spacing w:after="0"/>
            </w:pPr>
            <w:r>
              <w:rPr>
                <w:b w:val="0"/>
                <w:color w:val="1F2933"/>
              </w:rPr>
              <w:t>To be completed on approval</w:t>
            </w:r>
          </w:p>
        </w:tc>
      </w:tr>
    </w:tbl>
    <w:tbl>
      <w:tblPr>
        <w:tblW w:type="auto" w:w="0"/>
        <w:jc w:val="center"/>
        <w:tblLayout w:type="fixed"/>
        <w:tblLook w:firstColumn="1" w:firstRow="1" w:lastColumn="0" w:lastRow="0" w:noHBand="0" w:noVBand="1" w:val="04A0"/>
      </w:tblPr>
      <w:tblGrid>
        <w:gridCol w:w="9694"/>
      </w:tblGrid>
      <w:tr>
        <w:tc>
          <w:tcPr>
            <w:tcW w:type="dxa" w:w="9694"/>
            <w:shd w:fill="FFF5D6"/>
            <w:tcMar>
              <w:top w:w="110" w:type="dxa"/>
              <w:start w:w="160" w:type="dxa"/>
              <w:bottom w:w="110" w:type="dxa"/>
              <w:end w:w="160" w:type="dxa"/>
            </w:tcMar>
            <w:vAlign w:val="center"/>
          </w:tcPr>
          <w:p>
            <w:pPr>
              <w:spacing w:after="0"/>
            </w:pPr>
            <w:r>
              <w:rPr>
                <w:b/>
                <w:color w:val="003B70"/>
              </w:rPr>
              <w:t xml:space="preserve">Policy basis: </w:t>
            </w:r>
            <w:r>
              <w:t>This policy customises the Catholic Education Service model framework (updated March 2026) for St Mary’s and has regard to the revised Department for Education statutory guidance applying from 1 September 2026.</w:t>
            </w:r>
          </w:p>
        </w:tc>
      </w:tr>
    </w:tbl>
    <w:p>
      <w:pPr>
        <w:widowControl/>
        <w:spacing w:after="0"/>
      </w:pPr>
    </w:p>
    <w:p>
      <w:pPr>
        <w:pStyle w:val="Heading1"/>
        <w:widowControl/>
      </w:pPr>
      <w:r>
        <w:t>1. Purpose and scope</w:t>
      </w:r>
    </w:p>
    <w:p>
      <w:pPr>
        <w:widowControl/>
      </w:pPr>
      <w:r>
        <w:t>This policy sets out the governing body’s intentions for Personal, Social, Health and Economic Education (PSHE), statutory Relationships Education and Health Education, and the school’s age-appropriate Catholic Relationships and Sex Education (RSE). It applies to pupils from Reception to Year 6.</w:t>
      </w:r>
    </w:p>
    <w:p>
      <w:pPr>
        <w:widowControl/>
      </w:pPr>
      <w:r>
        <w:t>It should be read alongside the school’s PSHE, Relationships and Health Education Three-Year Overview and Progression document, which specify the knowledge, vocabulary, safeguarding entitlement and year-group end points.</w:t>
      </w:r>
    </w:p>
    <w:p>
      <w:pPr>
        <w:pStyle w:val="Heading1"/>
        <w:widowControl/>
      </w:pPr>
      <w:r>
        <w:t>2. School mission and Catholic character</w:t>
      </w:r>
    </w:p>
    <w:p>
      <w:pPr>
        <w:widowControl/>
      </w:pPr>
      <w:r>
        <w:t>St Mary’s is a Catholic school in which every child is known, valued and cherished. Our mission—Rooted in Love, Faith in Action and Learning for Life—commits us to the education of the whole child: spiritual, physical, intellectual, moral, social, cultural and emotional.</w:t>
      </w:r>
    </w:p>
    <w:p>
      <w:pPr>
        <w:widowControl/>
      </w:pPr>
      <w:r>
        <w:t>We believe every person is created in the image and likeness of God and therefore has unique and equal dignity. Our RSE is rooted in the Catholic Church’s teaching on the human person and is presented positively, prudently and within the context of loving relationships, responsibility and the common good.</w:t>
      </w:r>
    </w:p>
    <w:p>
      <w:pPr>
        <w:widowControl/>
        <w:spacing w:before="140" w:after="160"/>
        <w:jc w:val="center"/>
      </w:pPr>
      <w:r>
        <w:rPr>
          <w:b/>
          <w:i/>
          <w:color w:val="1F5E96"/>
        </w:rPr>
        <w:t>“I have come that they may have life, and have it to the full.”  John 10:10</w:t>
      </w:r>
    </w:p>
    <w:p>
      <w:pPr>
        <w:pStyle w:val="Heading1"/>
        <w:widowControl/>
      </w:pPr>
      <w:r>
        <w:t>3. Consultation, approval and review</w:t>
      </w:r>
    </w:p>
    <w:p>
      <w:pPr>
        <w:widowControl/>
      </w:pPr>
      <w:r>
        <w:t>The school recognises parents and carers as the first educators of their children. Before ratification, the governing body will ensure appropriate consultation with parents and carers, staff and other relevant members of the school community. Consultation may include:</w:t>
      </w:r>
    </w:p>
    <w:p>
      <w:pPr>
        <w:pStyle w:val="ListBullet"/>
        <w:widowControl/>
      </w:pPr>
      <w:r>
        <w:t>sharing the draft policy and curriculum overview with parents and carers;</w:t>
      </w:r>
    </w:p>
    <w:p>
      <w:pPr>
        <w:pStyle w:val="ListBullet"/>
        <w:widowControl/>
      </w:pPr>
      <w:r>
        <w:t>providing opportunities to view the principal teaching resources;</w:t>
      </w:r>
    </w:p>
    <w:p>
      <w:pPr>
        <w:pStyle w:val="ListBullet"/>
        <w:widowControl/>
      </w:pPr>
      <w:r>
        <w:t>discussion with staff, governors and the diocesan education service where appropriate;</w:t>
      </w:r>
    </w:p>
    <w:p>
      <w:pPr>
        <w:pStyle w:val="ListBullet"/>
        <w:widowControl/>
      </w:pPr>
      <w:r>
        <w:t>age-appropriate pupil voice that does not require personal disclosure; and</w:t>
      </w:r>
    </w:p>
    <w:p>
      <w:pPr>
        <w:pStyle w:val="ListBullet"/>
        <w:widowControl/>
      </w:pPr>
      <w:r>
        <w:t>professional advice from safeguarding, health or education partners where needed.</w:t>
      </w:r>
    </w:p>
    <w:p>
      <w:pPr>
        <w:widowControl/>
      </w:pPr>
      <w:r>
        <w:t>Implementation will take place following governing body approval. The policy will normally be reviewed every two years by the Headteacher, PSHE/RSE subject leader and governing body, and sooner if statutory guidance, diocesan guidance, safeguarding expectations or the school curriculum changes.</w:t>
      </w:r>
    </w:p>
    <w:p>
      <w:pPr>
        <w:widowControl/>
      </w:pPr>
      <w:r>
        <w:t>The approved policy will be made available to staff, governors, parents and carers and published on the school website.</w:t>
      </w:r>
    </w:p>
    <w:p>
      <w:pPr>
        <w:pStyle w:val="Heading1"/>
        <w:widowControl/>
      </w:pPr>
      <w:r>
        <w:t>4. Definitions</w:t>
      </w:r>
    </w:p>
    <w:p>
      <w:pPr>
        <w:pStyle w:val="Heading2"/>
        <w:widowControl/>
      </w:pPr>
      <w:r>
        <w:t>PSHE</w:t>
      </w:r>
    </w:p>
    <w:p>
      <w:pPr>
        <w:widowControl/>
      </w:pPr>
      <w:r>
        <w:t>PSHE is the wider planned curriculum through which pupils develop knowledge, skills and attributes for relationships, physical and mental health, safety, economic wellbeing, citizenship and life in modern Britain.</w:t>
      </w:r>
    </w:p>
    <w:p>
      <w:pPr>
        <w:pStyle w:val="Heading2"/>
        <w:widowControl/>
      </w:pPr>
      <w:r>
        <w:t>Relationships Education and Health Education</w:t>
      </w:r>
    </w:p>
    <w:p>
      <w:pPr>
        <w:widowControl/>
      </w:pPr>
      <w:r>
        <w:t>Relationships Education is compulsory for all primary-aged pupils. Health Education is compulsory in state-funded primary schools. Together they provide essential teaching about families, friendships, respectful relationships, online relationships, personal safety, physical health and mental wellbeing.</w:t>
      </w:r>
    </w:p>
    <w:p>
      <w:pPr>
        <w:pStyle w:val="Heading2"/>
        <w:widowControl/>
      </w:pPr>
      <w:r>
        <w:t>Relationships and Sex Education</w:t>
      </w:r>
    </w:p>
    <w:p>
      <w:pPr>
        <w:widowControl/>
      </w:pPr>
      <w:r>
        <w:t>In this Catholic primary school, RSE is the development of pupils’ knowledge and understanding of themselves as persons called to live in right relationship with God, self and others. It includes statutory Relationships and Health Education, relevant National Curriculum Science, and a limited amount of additional, age-appropriate primary sex education determined by the school.</w:t>
      </w:r>
    </w:p>
    <w:p>
      <w:pPr>
        <w:pStyle w:val="Heading1"/>
        <w:widowControl/>
      </w:pPr>
      <w:r>
        <w:t>5. Statutory and guidance framework</w:t>
      </w:r>
    </w:p>
    <w:p>
      <w:pPr>
        <w:widowControl/>
      </w:pPr>
      <w:r>
        <w:t>This policy has regard to:</w:t>
      </w:r>
    </w:p>
    <w:p>
      <w:pPr>
        <w:pStyle w:val="ListBullet"/>
        <w:widowControl/>
      </w:pPr>
      <w:r>
        <w:t>Relationships Education, Relationships and Sex Education and Health Education statutory guidance, revised July 2025 and applying from 1 September 2026;</w:t>
      </w:r>
    </w:p>
    <w:p>
      <w:pPr>
        <w:pStyle w:val="ListBullet"/>
        <w:widowControl/>
      </w:pPr>
      <w:r>
        <w:t>the Relationships Education, Relationships and Sex Education and Health Education (England) Regulations 2019;</w:t>
      </w:r>
    </w:p>
    <w:p>
      <w:pPr>
        <w:pStyle w:val="ListBullet"/>
        <w:widowControl/>
      </w:pPr>
      <w:r>
        <w:t>the National Curriculum for Science, including relevant learning about bodies, growth and life cycles;</w:t>
      </w:r>
    </w:p>
    <w:p>
      <w:pPr>
        <w:pStyle w:val="ListBullet"/>
        <w:widowControl/>
      </w:pPr>
      <w:r>
        <w:t>Keeping Children Safe in Education and the school’s safeguarding duties;</w:t>
      </w:r>
    </w:p>
    <w:p>
      <w:pPr>
        <w:pStyle w:val="ListBullet"/>
        <w:widowControl/>
      </w:pPr>
      <w:r>
        <w:t>the Equality Act 2010 and the Public Sector Equality Duty;</w:t>
      </w:r>
    </w:p>
    <w:p>
      <w:pPr>
        <w:pStyle w:val="ListBullet"/>
        <w:widowControl/>
      </w:pPr>
      <w:r>
        <w:t>the Catholic Education Service model RSE policy framework, updated March 2026; and</w:t>
      </w:r>
    </w:p>
    <w:p>
      <w:pPr>
        <w:pStyle w:val="ListBullet"/>
        <w:widowControl/>
      </w:pPr>
      <w:r>
        <w:t>relevant diocesan guidance and the teachings of the Catholic Church.</w:t>
      </w:r>
    </w:p>
    <w:tbl>
      <w:tblPr>
        <w:tblW w:type="auto" w:w="0"/>
        <w:jc w:val="center"/>
        <w:tblLayout w:type="fixed"/>
        <w:tblLook w:firstColumn="1" w:firstRow="1" w:lastColumn="0" w:lastRow="0" w:noHBand="0" w:noVBand="1" w:val="04A0"/>
      </w:tblPr>
      <w:tblGrid>
        <w:gridCol w:w="9694"/>
      </w:tblGrid>
      <w:tr>
        <w:tc>
          <w:tcPr>
            <w:tcW w:type="dxa" w:w="9694"/>
            <w:shd w:fill="FFF5D6"/>
            <w:tcMar>
              <w:top w:w="110" w:type="dxa"/>
              <w:start w:w="160" w:type="dxa"/>
              <w:bottom w:w="110" w:type="dxa"/>
              <w:end w:w="160" w:type="dxa"/>
            </w:tcMar>
            <w:vAlign w:val="center"/>
          </w:tcPr>
          <w:p>
            <w:pPr>
              <w:spacing w:after="0"/>
            </w:pPr>
            <w:r>
              <w:rPr>
                <w:b/>
                <w:color w:val="003B70"/>
              </w:rPr>
              <w:t xml:space="preserve">Primary entitlement: </w:t>
            </w:r>
            <w:r>
              <w:t>Relationships Education and Health Education are statutory. Sex education is not compulsory in primary schools, but the DfE recommends a graduated programme that prepares pupils for adolescence and explains, drawing on the human life cycle in Science, how a baby is conceived and born.</w:t>
            </w:r>
          </w:p>
        </w:tc>
      </w:tr>
    </w:tbl>
    <w:p>
      <w:pPr>
        <w:widowControl/>
        <w:spacing w:after="0"/>
      </w:pPr>
    </w:p>
    <w:p>
      <w:pPr>
        <w:pStyle w:val="Heading1"/>
        <w:widowControl/>
      </w:pPr>
      <w:r>
        <w:t>6. Rationale</w:t>
      </w:r>
    </w:p>
    <w:p>
      <w:pPr>
        <w:widowControl/>
      </w:pPr>
      <w:r>
        <w:t>We provide RSE because it is part of our Christian responsibility to help children understand their dignity, build healthy relationships, make sound moral judgements and stay safe. It is firmly embedded within PSHE and complements Religious Education, Science, Computing, safeguarding, the behaviour curriculum and the wider Catholic life of the school.</w:t>
      </w:r>
    </w:p>
    <w:p>
      <w:pPr>
        <w:widowControl/>
      </w:pPr>
      <w:r>
        <w:t>All RSE will be consistent with Catholic moral teaching. It will emphasise the importance of loving and stable relationships, marriage and family life, while recognising that every pupil has a fundamental right to have their life and family circumstances treated with dignity and respect. It will prepare pupils for life in modern Britain and provide the knowledge they need to stay safe, healthy and informed.</w:t>
      </w:r>
    </w:p>
    <w:p>
      <w:pPr>
        <w:pStyle w:val="Heading1"/>
        <w:widowControl/>
      </w:pPr>
      <w:r>
        <w:t>7. Values and virtues</w:t>
      </w:r>
    </w:p>
    <w:p>
      <w:pPr>
        <w:widowControl/>
      </w:pPr>
      <w:r>
        <w:t>The programme promotes the virtues needed to respond to God’s call to love others and respect the dignity of the human body. These include:</w:t>
      </w:r>
    </w:p>
    <w:p>
      <w:pPr>
        <w:pStyle w:val="ListBullet"/>
        <w:widowControl/>
      </w:pPr>
      <w:r>
        <w:t>faithfulness, integrity and honesty;</w:t>
      </w:r>
    </w:p>
    <w:p>
      <w:pPr>
        <w:pStyle w:val="ListBullet"/>
        <w:widowControl/>
      </w:pPr>
      <w:r>
        <w:t>prudence and responsible decision-making;</w:t>
      </w:r>
    </w:p>
    <w:p>
      <w:pPr>
        <w:pStyle w:val="ListBullet"/>
        <w:widowControl/>
      </w:pPr>
      <w:r>
        <w:t>mercy, forgiveness and compassion;</w:t>
      </w:r>
    </w:p>
    <w:p>
      <w:pPr>
        <w:pStyle w:val="ListBullet"/>
        <w:widowControl/>
      </w:pPr>
      <w:r>
        <w:t>respect, courage and justice;</w:t>
      </w:r>
    </w:p>
    <w:p>
      <w:pPr>
        <w:pStyle w:val="ListBullet"/>
        <w:widowControl/>
      </w:pPr>
      <w:r>
        <w:t>self-control, patience and resilience; and</w:t>
      </w:r>
    </w:p>
    <w:p>
      <w:pPr>
        <w:pStyle w:val="ListBullet"/>
        <w:widowControl/>
      </w:pPr>
      <w:r>
        <w:t>service, solidarity and care for the common good.</w:t>
      </w:r>
    </w:p>
    <w:p>
      <w:pPr>
        <w:pStyle w:val="Heading1"/>
        <w:widowControl/>
      </w:pPr>
      <w:r>
        <w:t>8. Aims and objectives</w:t>
      </w:r>
    </w:p>
    <w:p>
      <w:pPr>
        <w:widowControl/>
      </w:pPr>
      <w:r>
        <w:t>In partnership with parents and carers, the school aims to provide a positive and prudent education that is compatible with pupils’ physical, cognitive, emotional, social and spiritual maturity.</w:t>
      </w:r>
    </w:p>
    <w:p>
      <w:pPr>
        <w:pStyle w:val="Heading2"/>
        <w:widowControl/>
      </w:pPr>
      <w:r>
        <w:t>Pupils will develop attitudes and understanding that enable them to:</w:t>
      </w:r>
    </w:p>
    <w:p>
      <w:pPr>
        <w:pStyle w:val="ListBullet"/>
        <w:widowControl/>
      </w:pPr>
      <w:r>
        <w:t>recognise the God-given dignity and uniqueness of every person;</w:t>
      </w:r>
    </w:p>
    <w:p>
      <w:pPr>
        <w:pStyle w:val="ListBullet"/>
        <w:widowControl/>
      </w:pPr>
      <w:r>
        <w:t>show reverence for life, the human body and creation;</w:t>
      </w:r>
    </w:p>
    <w:p>
      <w:pPr>
        <w:pStyle w:val="ListBullet"/>
        <w:widowControl/>
      </w:pPr>
      <w:r>
        <w:t>understand the value of family life, friendship, commitment and marriage within Catholic teaching;</w:t>
      </w:r>
    </w:p>
    <w:p>
      <w:pPr>
        <w:pStyle w:val="ListBullet"/>
        <w:widowControl/>
      </w:pPr>
      <w:r>
        <w:t>respect people whose experiences, beliefs or family circumstances differ from their own;</w:t>
      </w:r>
    </w:p>
    <w:p>
      <w:pPr>
        <w:pStyle w:val="ListBullet"/>
        <w:widowControl/>
      </w:pPr>
      <w:r>
        <w:t>recognise that rights and freedoms bring responsibilities towards others;</w:t>
      </w:r>
    </w:p>
    <w:p>
      <w:pPr>
        <w:pStyle w:val="ListBullet"/>
        <w:widowControl/>
      </w:pPr>
      <w:r>
        <w:t>make sound judgements and understand how choices affect themselves and other people;</w:t>
      </w:r>
    </w:p>
    <w:p>
      <w:pPr>
        <w:pStyle w:val="ListBullet"/>
        <w:widowControl/>
      </w:pPr>
      <w:r>
        <w:t>form healthy friendships and relationships free from exploitation, abuse, bullying and coercion;</w:t>
      </w:r>
    </w:p>
    <w:p>
      <w:pPr>
        <w:pStyle w:val="ListBullet"/>
        <w:widowControl/>
      </w:pPr>
      <w:r>
        <w:t>manage emotions, disagreement, change and relationship difficulties with growing confidence;</w:t>
      </w:r>
    </w:p>
    <w:p>
      <w:pPr>
        <w:pStyle w:val="ListBullet"/>
        <w:widowControl/>
      </w:pPr>
      <w:r>
        <w:t>recognise pressure and influence from peers, media and online environments;</w:t>
      </w:r>
    </w:p>
    <w:p>
      <w:pPr>
        <w:pStyle w:val="ListBullet"/>
        <w:widowControl/>
      </w:pPr>
      <w:r>
        <w:t>understand personal boundaries and age-appropriate consent;</w:t>
      </w:r>
    </w:p>
    <w:p>
      <w:pPr>
        <w:pStyle w:val="ListBullet"/>
        <w:widowControl/>
      </w:pPr>
      <w:r>
        <w:t>recognise unsafe situations and seek help from trusted adults; and</w:t>
      </w:r>
    </w:p>
    <w:p>
      <w:pPr>
        <w:pStyle w:val="ListBullet"/>
        <w:widowControl/>
      </w:pPr>
      <w:r>
        <w:t>understand age-appropriate physical and emotional changes associated with growing and puberty.</w:t>
      </w:r>
    </w:p>
    <w:p>
      <w:pPr>
        <w:pStyle w:val="Heading1"/>
        <w:widowControl/>
      </w:pPr>
      <w:r>
        <w:t>9. Curriculum model and resources</w:t>
      </w:r>
    </w:p>
    <w:p>
      <w:pPr>
        <w:widowControl/>
      </w:pPr>
      <w:r>
        <w:t>Coram SCARF provides the main framework for the school’s PSHE curriculum. Ten Ten Life to the Full Primary provides the explicitly Catholic Relationships, Health and Sex Education programme. St Mary’s uses Life to the Full Primary; Life to the Full Plus is not used because SCARF remains the main resource for wider PSHE.</w:t>
      </w:r>
    </w:p>
    <w:p>
      <w:pPr>
        <w:widowControl/>
      </w:pPr>
      <w:r>
        <w:t>Reception follows an annual EYFS pathway. Years 1/2/3 and Years 4/5/6 follow three-year mixed-age cycles. The cycle organises broad themes; it never determines when sensitive content is taught.</w:t>
      </w:r>
    </w:p>
    <w:p>
      <w:pPr>
        <w:pStyle w:val="Heading2"/>
        <w:widowControl/>
      </w:pPr>
      <w:r>
        <w:t>Annual curriculum organisation</w:t>
      </w:r>
    </w:p>
    <w:tbl>
      <w:tblPr>
        <w:tblW w:type="auto" w:w="0"/>
        <w:jc w:val="center"/>
        <w:tblLayout w:type="fixed"/>
        <w:tblLook w:firstColumn="1" w:firstRow="1" w:lastColumn="0" w:lastRow="0" w:noHBand="0" w:noVBand="1" w:val="04A0"/>
      </w:tblPr>
      <w:tblGrid>
        <w:gridCol w:w="3269"/>
        <w:gridCol w:w="3269"/>
        <w:gridCol w:w="3269"/>
      </w:tblGrid>
      <w:tr>
        <w:trPr>
          <w:tblHeader w:val="true"/>
        </w:trPr>
        <w:tc>
          <w:tcPr>
            <w:tcW w:type="dxa" w:w="1701"/>
            <w:shd w:fill="003B70"/>
            <w:tcMar>
              <w:top w:w="90" w:type="dxa"/>
              <w:start w:w="120" w:type="dxa"/>
              <w:bottom w:w="90" w:type="dxa"/>
              <w:end w:w="120" w:type="dxa"/>
            </w:tcMar>
          </w:tcPr>
          <w:p>
            <w:pPr>
              <w:spacing w:after="0"/>
            </w:pPr>
            <w:r>
              <w:rPr>
                <w:b/>
                <w:color w:val="FFFFFF"/>
              </w:rPr>
              <w:t>Period</w:t>
            </w:r>
          </w:p>
        </w:tc>
        <w:tc>
          <w:tcPr>
            <w:tcW w:type="dxa" w:w="2891"/>
            <w:shd w:fill="003B70"/>
            <w:tcMar>
              <w:top w:w="90" w:type="dxa"/>
              <w:start w:w="120" w:type="dxa"/>
              <w:bottom w:w="90" w:type="dxa"/>
              <w:end w:w="120" w:type="dxa"/>
            </w:tcMar>
          </w:tcPr>
          <w:p>
            <w:pPr>
              <w:spacing w:after="0"/>
            </w:pPr>
            <w:r>
              <w:rPr>
                <w:b/>
                <w:color w:val="FFFFFF"/>
              </w:rPr>
              <w:t>Main programme</w:t>
            </w:r>
          </w:p>
        </w:tc>
        <w:tc>
          <w:tcPr>
            <w:tcW w:type="dxa" w:w="5102"/>
            <w:shd w:fill="003B70"/>
            <w:tcMar>
              <w:top w:w="90" w:type="dxa"/>
              <w:start w:w="120" w:type="dxa"/>
              <w:bottom w:w="90" w:type="dxa"/>
              <w:end w:w="120" w:type="dxa"/>
            </w:tcMar>
          </w:tcPr>
          <w:p>
            <w:pPr>
              <w:spacing w:after="0"/>
            </w:pPr>
            <w:r>
              <w:rPr>
                <w:b/>
                <w:color w:val="FFFFFF"/>
              </w:rPr>
              <w:t>Core focus</w:t>
            </w:r>
          </w:p>
        </w:tc>
      </w:tr>
      <w:tr>
        <w:tc>
          <w:tcPr>
            <w:tcW w:type="dxa" w:w="1701"/>
            <w:tcMar>
              <w:top w:w="90" w:type="dxa"/>
              <w:start w:w="120" w:type="dxa"/>
              <w:bottom w:w="90" w:type="dxa"/>
              <w:end w:w="120" w:type="dxa"/>
            </w:tcMar>
            <w:shd w:fill="EAF2F8"/>
            <w:vAlign w:val="center"/>
          </w:tcPr>
          <w:p>
            <w:pPr>
              <w:spacing w:after="0"/>
            </w:pPr>
            <w:r>
              <w:t>Autumn 1</w:t>
            </w:r>
          </w:p>
        </w:tc>
        <w:tc>
          <w:tcPr>
            <w:tcW w:type="dxa" w:w="2891"/>
            <w:tcMar>
              <w:top w:w="90" w:type="dxa"/>
              <w:start w:w="120" w:type="dxa"/>
              <w:bottom w:w="90" w:type="dxa"/>
              <w:end w:w="120" w:type="dxa"/>
            </w:tcMar>
            <w:shd w:fill="EAF2F8"/>
            <w:vAlign w:val="center"/>
          </w:tcPr>
          <w:p>
            <w:pPr>
              <w:spacing w:after="0"/>
            </w:pPr>
            <w:r>
              <w:t>SCARF</w:t>
            </w:r>
          </w:p>
        </w:tc>
        <w:tc>
          <w:tcPr>
            <w:tcW w:type="dxa" w:w="5102"/>
            <w:tcMar>
              <w:top w:w="90" w:type="dxa"/>
              <w:start w:w="120" w:type="dxa"/>
              <w:bottom w:w="90" w:type="dxa"/>
              <w:end w:w="120" w:type="dxa"/>
            </w:tcMar>
            <w:shd w:fill="EAF2F8"/>
            <w:vAlign w:val="center"/>
          </w:tcPr>
          <w:p>
            <w:pPr>
              <w:spacing w:after="0"/>
            </w:pPr>
            <w:r>
              <w:t>Me and My Relationships</w:t>
            </w:r>
          </w:p>
        </w:tc>
      </w:tr>
      <w:tr>
        <w:tc>
          <w:tcPr>
            <w:tcW w:type="dxa" w:w="1701"/>
            <w:tcMar>
              <w:top w:w="90" w:type="dxa"/>
              <w:start w:w="120" w:type="dxa"/>
              <w:bottom w:w="90" w:type="dxa"/>
              <w:end w:w="120" w:type="dxa"/>
            </w:tcMar>
            <w:shd w:fill="FFFFFF"/>
            <w:vAlign w:val="center"/>
          </w:tcPr>
          <w:p>
            <w:pPr>
              <w:spacing w:after="0"/>
            </w:pPr>
            <w:r>
              <w:t>Autumn 2</w:t>
            </w:r>
          </w:p>
        </w:tc>
        <w:tc>
          <w:tcPr>
            <w:tcW w:type="dxa" w:w="2891"/>
            <w:tcMar>
              <w:top w:w="90" w:type="dxa"/>
              <w:start w:w="120" w:type="dxa"/>
              <w:bottom w:w="90" w:type="dxa"/>
              <w:end w:w="120" w:type="dxa"/>
            </w:tcMar>
            <w:shd w:fill="FFFFFF"/>
            <w:vAlign w:val="center"/>
          </w:tcPr>
          <w:p>
            <w:pPr>
              <w:spacing w:after="0"/>
            </w:pPr>
            <w:r>
              <w:t>SCARF</w:t>
            </w:r>
          </w:p>
        </w:tc>
        <w:tc>
          <w:tcPr>
            <w:tcW w:type="dxa" w:w="5102"/>
            <w:tcMar>
              <w:top w:w="90" w:type="dxa"/>
              <w:start w:w="120" w:type="dxa"/>
              <w:bottom w:w="90" w:type="dxa"/>
              <w:end w:w="120" w:type="dxa"/>
            </w:tcMar>
            <w:shd w:fill="FFFFFF"/>
            <w:vAlign w:val="center"/>
          </w:tcPr>
          <w:p>
            <w:pPr>
              <w:spacing w:after="0"/>
            </w:pPr>
            <w:r>
              <w:t>Valuing Difference</w:t>
            </w:r>
          </w:p>
        </w:tc>
      </w:tr>
      <w:tr>
        <w:tc>
          <w:tcPr>
            <w:tcW w:type="dxa" w:w="1701"/>
            <w:tcMar>
              <w:top w:w="90" w:type="dxa"/>
              <w:start w:w="120" w:type="dxa"/>
              <w:bottom w:w="90" w:type="dxa"/>
              <w:end w:w="120" w:type="dxa"/>
            </w:tcMar>
            <w:shd w:fill="EAF2F8"/>
            <w:vAlign w:val="center"/>
          </w:tcPr>
          <w:p>
            <w:pPr>
              <w:spacing w:after="0"/>
            </w:pPr>
            <w:r>
              <w:t>Spring 1</w:t>
            </w:r>
          </w:p>
        </w:tc>
        <w:tc>
          <w:tcPr>
            <w:tcW w:type="dxa" w:w="2891"/>
            <w:tcMar>
              <w:top w:w="90" w:type="dxa"/>
              <w:start w:w="120" w:type="dxa"/>
              <w:bottom w:w="90" w:type="dxa"/>
              <w:end w:w="120" w:type="dxa"/>
            </w:tcMar>
            <w:shd w:fill="EAF2F8"/>
            <w:vAlign w:val="center"/>
          </w:tcPr>
          <w:p>
            <w:pPr>
              <w:spacing w:after="0"/>
            </w:pPr>
            <w:r>
              <w:t>SCARF</w:t>
            </w:r>
          </w:p>
        </w:tc>
        <w:tc>
          <w:tcPr>
            <w:tcW w:type="dxa" w:w="5102"/>
            <w:tcMar>
              <w:top w:w="90" w:type="dxa"/>
              <w:start w:w="120" w:type="dxa"/>
              <w:bottom w:w="90" w:type="dxa"/>
              <w:end w:w="120" w:type="dxa"/>
            </w:tcMar>
            <w:shd w:fill="EAF2F8"/>
            <w:vAlign w:val="center"/>
          </w:tcPr>
          <w:p>
            <w:pPr>
              <w:spacing w:after="0"/>
            </w:pPr>
            <w:r>
              <w:t>Keeping Safe</w:t>
            </w:r>
          </w:p>
        </w:tc>
      </w:tr>
      <w:tr>
        <w:tc>
          <w:tcPr>
            <w:tcW w:type="dxa" w:w="1701"/>
            <w:tcMar>
              <w:top w:w="90" w:type="dxa"/>
              <w:start w:w="120" w:type="dxa"/>
              <w:bottom w:w="90" w:type="dxa"/>
              <w:end w:w="120" w:type="dxa"/>
            </w:tcMar>
            <w:shd w:fill="FFFFFF"/>
            <w:vAlign w:val="center"/>
          </w:tcPr>
          <w:p>
            <w:pPr>
              <w:spacing w:after="0"/>
            </w:pPr>
            <w:r>
              <w:t>Spring 2</w:t>
            </w:r>
          </w:p>
        </w:tc>
        <w:tc>
          <w:tcPr>
            <w:tcW w:type="dxa" w:w="2891"/>
            <w:tcMar>
              <w:top w:w="90" w:type="dxa"/>
              <w:start w:w="120" w:type="dxa"/>
              <w:bottom w:w="90" w:type="dxa"/>
              <w:end w:w="120" w:type="dxa"/>
            </w:tcMar>
            <w:shd w:fill="FFFFFF"/>
            <w:vAlign w:val="center"/>
          </w:tcPr>
          <w:p>
            <w:pPr>
              <w:spacing w:after="0"/>
            </w:pPr>
            <w:r>
              <w:t>SCARF</w:t>
            </w:r>
          </w:p>
        </w:tc>
        <w:tc>
          <w:tcPr>
            <w:tcW w:type="dxa" w:w="5102"/>
            <w:tcMar>
              <w:top w:w="90" w:type="dxa"/>
              <w:start w:w="120" w:type="dxa"/>
              <w:bottom w:w="90" w:type="dxa"/>
              <w:end w:w="120" w:type="dxa"/>
            </w:tcMar>
            <w:shd w:fill="FFFFFF"/>
            <w:vAlign w:val="center"/>
          </w:tcPr>
          <w:p>
            <w:pPr>
              <w:spacing w:after="0"/>
            </w:pPr>
            <w:r>
              <w:t>Rights and Respect</w:t>
            </w:r>
          </w:p>
        </w:tc>
      </w:tr>
      <w:tr>
        <w:tc>
          <w:tcPr>
            <w:tcW w:type="dxa" w:w="1701"/>
            <w:tcMar>
              <w:top w:w="90" w:type="dxa"/>
              <w:start w:w="120" w:type="dxa"/>
              <w:bottom w:w="90" w:type="dxa"/>
              <w:end w:w="120" w:type="dxa"/>
            </w:tcMar>
            <w:shd w:fill="EAF2F8"/>
            <w:vAlign w:val="center"/>
          </w:tcPr>
          <w:p>
            <w:pPr>
              <w:spacing w:after="0"/>
            </w:pPr>
            <w:r>
              <w:t>Summer 1</w:t>
            </w:r>
          </w:p>
        </w:tc>
        <w:tc>
          <w:tcPr>
            <w:tcW w:type="dxa" w:w="2891"/>
            <w:tcMar>
              <w:top w:w="90" w:type="dxa"/>
              <w:start w:w="120" w:type="dxa"/>
              <w:bottom w:w="90" w:type="dxa"/>
              <w:end w:w="120" w:type="dxa"/>
            </w:tcMar>
            <w:shd w:fill="EAF2F8"/>
            <w:vAlign w:val="center"/>
          </w:tcPr>
          <w:p>
            <w:pPr>
              <w:spacing w:after="0"/>
            </w:pPr>
            <w:r>
              <w:t>SCARF</w:t>
            </w:r>
          </w:p>
        </w:tc>
        <w:tc>
          <w:tcPr>
            <w:tcW w:type="dxa" w:w="5102"/>
            <w:tcMar>
              <w:top w:w="90" w:type="dxa"/>
              <w:start w:w="120" w:type="dxa"/>
              <w:bottom w:w="90" w:type="dxa"/>
              <w:end w:w="120" w:type="dxa"/>
            </w:tcMar>
            <w:shd w:fill="EAF2F8"/>
            <w:vAlign w:val="center"/>
          </w:tcPr>
          <w:p>
            <w:pPr>
              <w:spacing w:after="0"/>
            </w:pPr>
            <w:r>
              <w:t>Being My Best</w:t>
            </w:r>
          </w:p>
        </w:tc>
      </w:tr>
      <w:tr>
        <w:tc>
          <w:tcPr>
            <w:tcW w:type="dxa" w:w="1701"/>
            <w:tcMar>
              <w:top w:w="90" w:type="dxa"/>
              <w:start w:w="120" w:type="dxa"/>
              <w:bottom w:w="90" w:type="dxa"/>
              <w:end w:w="120" w:type="dxa"/>
            </w:tcMar>
            <w:shd w:fill="FFFFFF"/>
            <w:vAlign w:val="center"/>
          </w:tcPr>
          <w:p>
            <w:pPr>
              <w:spacing w:after="0"/>
            </w:pPr>
            <w:r>
              <w:t>Summer 2</w:t>
            </w:r>
          </w:p>
        </w:tc>
        <w:tc>
          <w:tcPr>
            <w:tcW w:type="dxa" w:w="2891"/>
            <w:tcMar>
              <w:top w:w="90" w:type="dxa"/>
              <w:start w:w="120" w:type="dxa"/>
              <w:bottom w:w="90" w:type="dxa"/>
              <w:end w:w="120" w:type="dxa"/>
            </w:tcMar>
            <w:shd w:fill="FFFFFF"/>
            <w:vAlign w:val="center"/>
          </w:tcPr>
          <w:p>
            <w:pPr>
              <w:spacing w:after="0"/>
            </w:pPr>
            <w:r>
              <w:t>Ten Ten</w:t>
            </w:r>
          </w:p>
        </w:tc>
        <w:tc>
          <w:tcPr>
            <w:tcW w:type="dxa" w:w="5102"/>
            <w:tcMar>
              <w:top w:w="90" w:type="dxa"/>
              <w:start w:w="120" w:type="dxa"/>
              <w:bottom w:w="90" w:type="dxa"/>
              <w:end w:w="120" w:type="dxa"/>
            </w:tcMar>
            <w:shd w:fill="FFFFFF"/>
            <w:vAlign w:val="center"/>
          </w:tcPr>
          <w:p>
            <w:pPr>
              <w:spacing w:after="0"/>
            </w:pPr>
            <w:r>
              <w:t>Life to the Full Catholic RHE/RSE</w:t>
            </w:r>
          </w:p>
        </w:tc>
      </w:tr>
    </w:tbl>
    <w:p>
      <w:pPr>
        <w:widowControl/>
      </w:pPr>
      <w:r>
        <w:t>Personal safety, trusted adults, body privacy, boundaries, bullying, online safety, emotional wellbeing and help-seeking are revisited every year. Curriculum resources are quality-assured and selected by trained staff. No resource is used automatically or without checking its suitability for the pupils concerned.</w:t>
      </w:r>
    </w:p>
    <w:p>
      <w:pPr>
        <w:pStyle w:val="Heading1"/>
        <w:widowControl/>
      </w:pPr>
      <w:r>
        <w:t>10. Mixed-age and age-specific teaching</w:t>
      </w:r>
    </w:p>
    <w:p>
      <w:pPr>
        <w:widowControl/>
      </w:pPr>
      <w:r>
        <w:t>Shared teaching is used for suitable themes such as dignity, identity, feelings, friendship, family, respect, difference, rights and responsibility. Sensitive teaching is delivered to the correct chronological and developmental group, even when pupils need to leave the main mixed-age lesson.</w:t>
      </w:r>
    </w:p>
    <w:p>
      <w:pPr>
        <w:widowControl/>
      </w:pPr>
      <w:r>
        <w:rPr>
          <w:b/>
        </w:rPr>
        <w:t>Reception:</w:t>
      </w:r>
      <w:r>
        <w:t xml:space="preserve"> God-given uniqueness, families, care, correct basic body vocabulary, privacy and trusted adults through the EYFS pathway.</w:t>
      </w:r>
    </w:p>
    <w:p>
      <w:pPr>
        <w:widowControl/>
      </w:pPr>
      <w:r>
        <w:rPr>
          <w:b/>
        </w:rPr>
        <w:t>Year 1:</w:t>
      </w:r>
      <w:r>
        <w:t xml:space="preserve"> Introductory body privacy, appropriate touch and personal boundaries; protected from content intended for older pupils.</w:t>
      </w:r>
    </w:p>
    <w:p>
      <w:pPr>
        <w:widowControl/>
      </w:pPr>
      <w:r>
        <w:rPr>
          <w:b/>
        </w:rPr>
        <w:t>Years 2 and 3:</w:t>
      </w:r>
      <w:r>
        <w:t xml:space="preserve"> Increasingly precise body vocabulary, boundaries and age-appropriate learning about growth and change. Prenatal development is included only through the agreed age-and-stage pathway.</w:t>
      </w:r>
    </w:p>
    <w:p>
      <w:pPr>
        <w:widowControl/>
      </w:pPr>
      <w:r>
        <w:rPr>
          <w:b/>
        </w:rPr>
        <w:t>Year 4:</w:t>
      </w:r>
      <w:r>
        <w:t xml:space="preserve"> An age-appropriate introduction to puberty, personal hygiene, menstruation and early physical and emotional changes.</w:t>
      </w:r>
    </w:p>
    <w:p>
      <w:pPr>
        <w:widowControl/>
      </w:pPr>
      <w:r>
        <w:rPr>
          <w:b/>
        </w:rPr>
        <w:t>Year 5:</w:t>
      </w:r>
      <w:r>
        <w:t xml:space="preserve"> Direct and accurate teaching about puberty for girls and boys, menstruation, personal hygiene and emotional change.</w:t>
      </w:r>
    </w:p>
    <w:p>
      <w:pPr>
        <w:widowControl/>
      </w:pPr>
      <w:r>
        <w:rPr>
          <w:b/>
        </w:rPr>
        <w:t>Year 6:</w:t>
      </w:r>
      <w:r>
        <w:t xml:space="preserve"> Consolidation of puberty knowledge, preparation for secondary school, and age-appropriate teaching about human reproduction and birth within the agreed Catholic curriculum.</w:t>
      </w:r>
    </w:p>
    <w:p>
      <w:pPr>
        <w:widowControl/>
      </w:pPr>
      <w:r>
        <w:t>Boys and girls are normally taught together within the relevant age group so that all pupils develop accurate knowledge and mutual respect. Separate opportunities may also be provided where they support confidence, questions, SEND or other individual needs. Parents and carers will receive information before sensitive content is taught.</w:t>
      </w:r>
    </w:p>
    <w:p>
      <w:pPr>
        <w:pStyle w:val="Heading1"/>
        <w:widowControl/>
      </w:pPr>
      <w:r>
        <w:t>11. Content reflecting the September 2026 guidance</w:t>
      </w:r>
    </w:p>
    <w:p>
      <w:pPr>
        <w:widowControl/>
      </w:pPr>
      <w:r>
        <w:t>At a primary and developmentally appropriate level, teaching includes:</w:t>
      </w:r>
    </w:p>
    <w:p>
      <w:pPr>
        <w:pStyle w:val="ListBullet"/>
        <w:widowControl/>
      </w:pPr>
      <w:r>
        <w:t>families, caring relationships, respectful friendships and how to seek help;</w:t>
      </w:r>
    </w:p>
    <w:p>
      <w:pPr>
        <w:pStyle w:val="ListBullet"/>
        <w:widowControl/>
      </w:pPr>
      <w:r>
        <w:t>personal boundaries, privacy, age-appropriate consent and protection from abuse or exploitation;</w:t>
      </w:r>
    </w:p>
    <w:p>
      <w:pPr>
        <w:pStyle w:val="ListBullet"/>
        <w:widowControl/>
      </w:pPr>
      <w:r>
        <w:t>bullying, cyberbullying, prejudice and discrimination;</w:t>
      </w:r>
    </w:p>
    <w:p>
      <w:pPr>
        <w:pStyle w:val="ListBullet"/>
        <w:widowControl/>
      </w:pPr>
      <w:r>
        <w:t>positive role models and the safe challenge of sexism, misogynistic ideas and harmful stereotypes;</w:t>
      </w:r>
    </w:p>
    <w:p>
      <w:pPr>
        <w:pStyle w:val="ListBullet"/>
        <w:widowControl/>
      </w:pPr>
      <w:r>
        <w:t>mental wellbeing, loneliness, loss, bereavement, resilience and trusted sources of support;</w:t>
      </w:r>
    </w:p>
    <w:p>
      <w:pPr>
        <w:pStyle w:val="ListBullet"/>
        <w:widowControl/>
      </w:pPr>
      <w:r>
        <w:t>physical health, sleep, activity, nutrition, dental health, medicines, puberty and hygiene;</w:t>
      </w:r>
    </w:p>
    <w:p>
      <w:pPr>
        <w:pStyle w:val="ListBullet"/>
        <w:widowControl/>
      </w:pPr>
      <w:r>
        <w:t>online relationships, age restrictions, gaming, scams, fraud, privacy, data, persuasive design and harmful content;</w:t>
      </w:r>
    </w:p>
    <w:p>
      <w:pPr>
        <w:pStyle w:val="ListBullet"/>
        <w:widowControl/>
      </w:pPr>
      <w:r>
        <w:t>how algorithms, influencers, misinformation and online pressures can affect beliefs, self-image and behaviour;</w:t>
      </w:r>
    </w:p>
    <w:p>
      <w:pPr>
        <w:pStyle w:val="ListBullet"/>
        <w:widowControl/>
      </w:pPr>
      <w:r>
        <w:t>economic wellbeing, needs and wants, saving, spending and responsible choices; and</w:t>
      </w:r>
    </w:p>
    <w:p>
      <w:pPr>
        <w:pStyle w:val="ListBullet"/>
        <w:widowControl/>
      </w:pPr>
      <w:r>
        <w:t>British values, Catholic Social Teaching, participation and the common good.</w:t>
      </w:r>
    </w:p>
    <w:p>
      <w:pPr>
        <w:widowControl/>
      </w:pPr>
      <w:r>
        <w:t>Primary pupils will not be exposed to unsuitable adult material in order to learn about online harms. Teaching will be factual, safeguarding-led and appropriate to their age and capacity to understand.</w:t>
      </w:r>
    </w:p>
    <w:p>
      <w:pPr>
        <w:pStyle w:val="Heading1"/>
        <w:widowControl/>
      </w:pPr>
      <w:r>
        <w:t>12. Teaching and learning</w:t>
      </w:r>
    </w:p>
    <w:p>
      <w:pPr>
        <w:widowControl/>
      </w:pPr>
      <w:r>
        <w:t>Teachers create a calm, respectful learning environment using approaches such as:</w:t>
      </w:r>
    </w:p>
    <w:p>
      <w:pPr>
        <w:pStyle w:val="ListBullet"/>
        <w:widowControl/>
      </w:pPr>
      <w:r>
        <w:t>clear ground rules and safeguarding reminders;</w:t>
      </w:r>
    </w:p>
    <w:p>
      <w:pPr>
        <w:pStyle w:val="ListBullet"/>
        <w:widowControl/>
      </w:pPr>
      <w:r>
        <w:t>distancing techniques, fictional scenarios and case studies;</w:t>
      </w:r>
    </w:p>
    <w:p>
      <w:pPr>
        <w:pStyle w:val="ListBullet"/>
        <w:widowControl/>
      </w:pPr>
      <w:r>
        <w:t>teacher explanation and modelling;</w:t>
      </w:r>
    </w:p>
    <w:p>
      <w:pPr>
        <w:pStyle w:val="ListBullet"/>
        <w:widowControl/>
      </w:pPr>
      <w:r>
        <w:t>discussion and carefully managed questions;</w:t>
      </w:r>
    </w:p>
    <w:p>
      <w:pPr>
        <w:pStyle w:val="ListBullet"/>
        <w:widowControl/>
      </w:pPr>
      <w:r>
        <w:t>stories, film clips and age-appropriate visual resources;</w:t>
      </w:r>
    </w:p>
    <w:p>
      <w:pPr>
        <w:pStyle w:val="ListBullet"/>
        <w:widowControl/>
      </w:pPr>
      <w:r>
        <w:t>role-play, sorting and decision-making activities;</w:t>
      </w:r>
    </w:p>
    <w:p>
      <w:pPr>
        <w:pStyle w:val="ListBullet"/>
        <w:widowControl/>
      </w:pPr>
      <w:r>
        <w:t>reflection, prayer and links with Catholic Social Teaching; and</w:t>
      </w:r>
    </w:p>
    <w:p>
      <w:pPr>
        <w:pStyle w:val="ListBullet"/>
        <w:widowControl/>
      </w:pPr>
      <w:r>
        <w:t>individual, paired and group work.</w:t>
      </w:r>
    </w:p>
    <w:p>
      <w:pPr>
        <w:widowControl/>
      </w:pPr>
      <w:r>
        <w:t>Learning is sequenced, revisited and adapted in response to assessment. Teaching will never require pupils to disclose personal experiences or family information.</w:t>
      </w:r>
    </w:p>
    <w:p>
      <w:pPr>
        <w:pStyle w:val="Heading1"/>
        <w:widowControl/>
      </w:pPr>
      <w:r>
        <w:t>13. Assessment</w:t>
      </w:r>
    </w:p>
    <w:p>
      <w:pPr>
        <w:widowControl/>
      </w:pPr>
      <w:r>
        <w:t>Assessment checks what pupils know, can explain and can apply. It does not assess private experience, beliefs or personal disclosure. Teachers may use questioning, discussion, scenarios, retrieval, quizzes, sorting activities, pupil voice and appropriate written or creative outcomes.</w:t>
      </w:r>
    </w:p>
    <w:p>
      <w:pPr>
        <w:widowControl/>
      </w:pPr>
      <w:r>
        <w:t>Assessment considers whether pupils can:</w:t>
      </w:r>
    </w:p>
    <w:p>
      <w:pPr>
        <w:pStyle w:val="ListBullet"/>
        <w:widowControl/>
      </w:pPr>
      <w:r>
        <w:t>use appropriate vocabulary;</w:t>
      </w:r>
    </w:p>
    <w:p>
      <w:pPr>
        <w:pStyle w:val="ListBullet"/>
        <w:widowControl/>
      </w:pPr>
      <w:r>
        <w:t>recognise safe, unsafe, healthy and unhealthy situations;</w:t>
      </w:r>
    </w:p>
    <w:p>
      <w:pPr>
        <w:pStyle w:val="ListBullet"/>
        <w:widowControl/>
      </w:pPr>
      <w:r>
        <w:t>identify trusted adults and appropriate reporting routes;</w:t>
      </w:r>
    </w:p>
    <w:p>
      <w:pPr>
        <w:pStyle w:val="ListBullet"/>
        <w:widowControl/>
      </w:pPr>
      <w:r>
        <w:t>explain a reasoned and respectful response;</w:t>
      </w:r>
    </w:p>
    <w:p>
      <w:pPr>
        <w:pStyle w:val="ListBullet"/>
        <w:widowControl/>
      </w:pPr>
      <w:r>
        <w:t>apply knowledge to an age-appropriate scenario; and</w:t>
      </w:r>
    </w:p>
    <w:p>
      <w:pPr>
        <w:pStyle w:val="ListBullet"/>
        <w:widowControl/>
      </w:pPr>
      <w:r>
        <w:t>demonstrate the expected year-group knowledge and independence.</w:t>
      </w:r>
    </w:p>
    <w:p>
      <w:pPr>
        <w:pStyle w:val="Heading1"/>
        <w:widowControl/>
      </w:pPr>
      <w:r>
        <w:t>14. Inclusion, SEND and equality</w:t>
      </w:r>
    </w:p>
    <w:p>
      <w:pPr>
        <w:widowControl/>
      </w:pPr>
      <w:r>
        <w:t>The school will ensure that RSE is sensitive to pupils’ different abilities, maturity, communication needs, faith, culture, family circumstances and lived experiences. Teaching will not subject pupils to discrimination.</w:t>
      </w:r>
    </w:p>
    <w:p>
      <w:pPr>
        <w:widowControl/>
      </w:pPr>
      <w:r>
        <w:t>Pupils with SEND may need protective knowledge—particularly about privacy, boundaries, relationships, online safety and help-seeking—to be taught more explicitly and revisited more frequently. Adaptations may include visual supports, pre-teaching, smaller groups, social stories, additional processing time, alternative communication and trusted-adult support. Adaptation will not unnecessarily reduce ambition or withhold essential safeguarding knowledge.</w:t>
      </w:r>
    </w:p>
    <w:p>
      <w:pPr>
        <w:widowControl/>
      </w:pPr>
      <w:r>
        <w:t>The governing body will meet its duties under the Equality Act 2010. Teaching will challenge bullying, prejudice-based language, sexism, racism, ableism, faith-based prejudice and other discrimination while remaining faithful to the school’s Catholic character.</w:t>
      </w:r>
    </w:p>
    <w:p>
      <w:pPr>
        <w:pStyle w:val="Heading1"/>
        <w:widowControl/>
      </w:pPr>
      <w:r>
        <w:t>15. Parents, carers and the right to request withdrawal</w:t>
      </w:r>
    </w:p>
    <w:p>
      <w:pPr>
        <w:widowControl/>
      </w:pPr>
      <w:r>
        <w:t>Parents and carers are the first educators of their children. The school will support them through clear curriculum information, opportunities to view resources and advance communication before sensitive teaching.</w:t>
      </w:r>
    </w:p>
    <w:p>
      <w:pPr>
        <w:widowControl/>
      </w:pPr>
      <w:r>
        <w:t>There is no right to withdraw a pupil from statutory Relationships Education, Health Education or National Curriculum Science.</w:t>
      </w:r>
    </w:p>
    <w:p>
      <w:pPr>
        <w:widowControl/>
      </w:pPr>
      <w:r>
        <w:t>Parents and carers may request that their child be withdrawn from additional sex education taught outside National Curriculum Science. A request should be made to the Headteacher. The Headteacher will discuss the request with the parent or carer, clarify which content is statutory and which is additional, explain the benefits of participation and consider any specific concerns or circumstances. Except in exceptional circumstances, the request will be granted for the non-statutory sex education concerned and appropriate supervision will be arranged.</w:t>
      </w:r>
    </w:p>
    <w:p>
      <w:pPr>
        <w:widowControl/>
      </w:pPr>
      <w:r>
        <w:t>The school believes that carefully planned teaching with trained staff provides a safe, factual and supportive environment. No pupil will be disadvantaged or stigmatised because a parent has made a withdrawal request.</w:t>
      </w:r>
    </w:p>
    <w:p>
      <w:pPr>
        <w:pStyle w:val="Heading1"/>
        <w:widowControl/>
      </w:pPr>
      <w:r>
        <w:t>16. Children’s questions and sensitive issues</w:t>
      </w:r>
    </w:p>
    <w:p>
      <w:pPr>
        <w:widowControl/>
      </w:pPr>
      <w:r>
        <w:t>Pupils will be encouraged to ask questions in a respectful atmosphere. Teachers will answer questions honestly and at a level appropriate to the age, maturity and curriculum entitlement of the group.</w:t>
      </w:r>
    </w:p>
    <w:p>
      <w:pPr>
        <w:widowControl/>
      </w:pPr>
      <w:r>
        <w:t>A teacher may defer a question, answer it privately, encourage discussion at home or seek advice where a question is outside the planned curriculum, too personal, inappropriate for the group or raises a safeguarding concern. Staff will not promise to answer every question in whole-class time.</w:t>
      </w:r>
    </w:p>
    <w:p>
      <w:pPr>
        <w:widowControl/>
      </w:pPr>
      <w:r>
        <w:t>Balanced teaching distinguishes between presenting accurate facts and promoting a particular behaviour. Pupils will receive the knowledge needed to stay safe, understand their rights and respect others while being taught the Catholic understanding of human dignity, relationships, marriage and family life.</w:t>
      </w:r>
    </w:p>
    <w:p>
      <w:pPr>
        <w:pStyle w:val="Heading1"/>
        <w:widowControl/>
      </w:pPr>
      <w:r>
        <w:t>17. Safeguarding, confidentiality and disclosures</w:t>
      </w:r>
    </w:p>
    <w:p>
      <w:pPr>
        <w:widowControl/>
      </w:pPr>
      <w:r>
        <w:t>RSE contributes to safeguarding by helping pupils recognise healthy and unhealthy behaviour, understand boundaries and identify trusted adults. All staff must remain alert to signs that a pupil may be at risk.</w:t>
      </w:r>
    </w:p>
    <w:p>
      <w:pPr>
        <w:widowControl/>
      </w:pPr>
      <w:r>
        <w:t>Staff cannot offer unconditional confidentiality. If a question, comment or disclosure indicates that a child may be at risk of harm, staff will follow the school’s safeguarding and child-protection procedures immediately and report to the Designated Safeguarding Lead or a deputy. Information will be shared only with those who need it to protect the child.</w:t>
      </w:r>
    </w:p>
    <w:p>
      <w:pPr>
        <w:widowControl/>
      </w:pPr>
      <w:r>
        <w:t>Pupils will be told, in age-appropriate language, that adults may need to pass information on to keep them safe. Wherever appropriate, the pupil will be supported and informed about what will happen next.</w:t>
      </w:r>
    </w:p>
    <w:p>
      <w:pPr>
        <w:pStyle w:val="Heading1"/>
        <w:widowControl/>
      </w:pPr>
      <w:r>
        <w:t>18. External visitors and resources</w:t>
      </w:r>
    </w:p>
    <w:p>
      <w:pPr>
        <w:widowControl/>
      </w:pPr>
      <w:r>
        <w:t>External visitors may enhance the programme but will never replace planned, teacher-led provision. Before any visit, the school will check the visitor’s competence, content, resources and suitability; clarify safeguarding and confidentiality expectations; and ensure that the session is consistent with this policy and the Catholic character of the school.</w:t>
      </w:r>
    </w:p>
    <w:p>
      <w:pPr>
        <w:widowControl/>
      </w:pPr>
      <w:r>
        <w:t>A member of school staff will normally remain present. Visitors will use agreed ground rules and distancing techniques and will not invite personal disclosure. The school retains responsibility for the curriculum and for responding to any safeguarding concern.</w:t>
      </w:r>
    </w:p>
    <w:p>
      <w:pPr>
        <w:pStyle w:val="Heading1"/>
        <w:widowControl/>
      </w:pPr>
      <w:r>
        <w:t>19. Roles and responsibilities</w:t>
      </w:r>
    </w:p>
    <w:p>
      <w:pPr>
        <w:pStyle w:val="Heading2"/>
        <w:widowControl/>
      </w:pPr>
      <w:r>
        <w:t>The governing body</w:t>
      </w:r>
    </w:p>
    <w:p>
      <w:pPr>
        <w:pStyle w:val="ListBullet"/>
        <w:widowControl/>
      </w:pPr>
      <w:r>
        <w:t>approves and keeps this policy under review;</w:t>
      </w:r>
    </w:p>
    <w:p>
      <w:pPr>
        <w:pStyle w:val="ListBullet"/>
        <w:widowControl/>
      </w:pPr>
      <w:r>
        <w:t>ensures statutory requirements and Catholic education expectations are met;</w:t>
      </w:r>
    </w:p>
    <w:p>
      <w:pPr>
        <w:pStyle w:val="ListBullet"/>
        <w:widowControl/>
      </w:pPr>
      <w:r>
        <w:t>ensures consultation and transparency for parents and carers;</w:t>
      </w:r>
    </w:p>
    <w:p>
      <w:pPr>
        <w:pStyle w:val="ListBullet"/>
        <w:widowControl/>
      </w:pPr>
      <w:r>
        <w:t>ensures appropriate curriculum coverage, staffing, training and resources;</w:t>
      </w:r>
    </w:p>
    <w:p>
      <w:pPr>
        <w:pStyle w:val="ListBullet"/>
        <w:widowControl/>
      </w:pPr>
      <w:r>
        <w:t>understands and oversees withdrawal arrangements; and</w:t>
      </w:r>
    </w:p>
    <w:p>
      <w:pPr>
        <w:pStyle w:val="ListBullet"/>
        <w:widowControl/>
      </w:pPr>
      <w:r>
        <w:t>receives monitoring and evaluation information while respecting pupil confidentiality.</w:t>
      </w:r>
    </w:p>
    <w:p>
      <w:pPr>
        <w:pStyle w:val="Heading2"/>
        <w:widowControl/>
      </w:pPr>
      <w:r>
        <w:t>The Headteacher</w:t>
      </w:r>
    </w:p>
    <w:p>
      <w:pPr>
        <w:pStyle w:val="ListBullet"/>
        <w:widowControl/>
      </w:pPr>
      <w:r>
        <w:t>has overall delegated responsibility for implementation;</w:t>
      </w:r>
    </w:p>
    <w:p>
      <w:pPr>
        <w:pStyle w:val="ListBullet"/>
        <w:widowControl/>
      </w:pPr>
      <w:r>
        <w:t>liaises with governors, parents, the diocese, the local authority and relevant agencies;</w:t>
      </w:r>
    </w:p>
    <w:p>
      <w:pPr>
        <w:pStyle w:val="ListBullet"/>
        <w:widowControl/>
      </w:pPr>
      <w:r>
        <w:t>ensures teaching is appropriately organised for mixed-age and age-specific groups;</w:t>
      </w:r>
    </w:p>
    <w:p>
      <w:pPr>
        <w:pStyle w:val="ListBullet"/>
        <w:widowControl/>
      </w:pPr>
      <w:r>
        <w:t>ensures resources and external contributions are quality-assured; and</w:t>
      </w:r>
    </w:p>
    <w:p>
      <w:pPr>
        <w:pStyle w:val="ListBullet"/>
        <w:widowControl/>
      </w:pPr>
      <w:r>
        <w:t>responds to requests for withdrawal from additional sex education.</w:t>
      </w:r>
    </w:p>
    <w:p>
      <w:pPr>
        <w:pStyle w:val="Heading2"/>
        <w:widowControl/>
      </w:pPr>
      <w:r>
        <w:t>The PSHE/RSE subject leader</w:t>
      </w:r>
    </w:p>
    <w:p>
      <w:pPr>
        <w:pStyle w:val="ListBullet"/>
        <w:widowControl/>
      </w:pPr>
      <w:r>
        <w:t>supports curriculum planning, sequencing and assessment;</w:t>
      </w:r>
    </w:p>
    <w:p>
      <w:pPr>
        <w:pStyle w:val="ListBullet"/>
        <w:widowControl/>
      </w:pPr>
      <w:r>
        <w:t>coordinates SCARF and Ten Ten Life to the Full Primary;</w:t>
      </w:r>
    </w:p>
    <w:p>
      <w:pPr>
        <w:pStyle w:val="ListBullet"/>
        <w:widowControl/>
      </w:pPr>
      <w:r>
        <w:t>supports staff training and subject knowledge;</w:t>
      </w:r>
    </w:p>
    <w:p>
      <w:pPr>
        <w:pStyle w:val="ListBullet"/>
        <w:widowControl/>
      </w:pPr>
      <w:r>
        <w:t>monitors provision, resources and year-group entitlement; and</w:t>
      </w:r>
    </w:p>
    <w:p>
      <w:pPr>
        <w:pStyle w:val="ListBullet"/>
        <w:widowControl/>
      </w:pPr>
      <w:r>
        <w:t>reports to leaders and governors and recommends improvement.</w:t>
      </w:r>
    </w:p>
    <w:p>
      <w:pPr>
        <w:pStyle w:val="Heading2"/>
        <w:widowControl/>
      </w:pPr>
      <w:r>
        <w:t>All staff</w:t>
      </w:r>
    </w:p>
    <w:p>
      <w:pPr>
        <w:pStyle w:val="ListBullet"/>
        <w:widowControl/>
      </w:pPr>
      <w:r>
        <w:t>model respectful, healthy and professional relationships;</w:t>
      </w:r>
    </w:p>
    <w:p>
      <w:pPr>
        <w:pStyle w:val="ListBullet"/>
        <w:widowControl/>
      </w:pPr>
      <w:r>
        <w:t>teach in accordance with this policy and the school’s Catholic ethos;</w:t>
      </w:r>
    </w:p>
    <w:p>
      <w:pPr>
        <w:pStyle w:val="ListBullet"/>
        <w:widowControl/>
      </w:pPr>
      <w:r>
        <w:t>use agreed vocabulary, routines and safeguarding procedures;</w:t>
      </w:r>
    </w:p>
    <w:p>
      <w:pPr>
        <w:pStyle w:val="ListBullet"/>
        <w:widowControl/>
      </w:pPr>
      <w:r>
        <w:t>adapt teaching without withholding essential knowledge;</w:t>
      </w:r>
    </w:p>
    <w:p>
      <w:pPr>
        <w:pStyle w:val="ListBullet"/>
        <w:widowControl/>
      </w:pPr>
      <w:r>
        <w:t>avoid requiring or encouraging personal disclosure; and</w:t>
      </w:r>
    </w:p>
    <w:p>
      <w:pPr>
        <w:pStyle w:val="ListBullet"/>
        <w:widowControl/>
      </w:pPr>
      <w:r>
        <w:t>report safeguarding concerns without delay.</w:t>
      </w:r>
    </w:p>
    <w:p>
      <w:pPr>
        <w:pStyle w:val="Heading1"/>
        <w:widowControl/>
      </w:pPr>
      <w:r>
        <w:t>20. Relationship with other policies and subjects</w:t>
      </w:r>
    </w:p>
    <w:p>
      <w:pPr>
        <w:widowControl/>
      </w:pPr>
      <w:r>
        <w:t>This policy should be read alongside the school’s:</w:t>
      </w:r>
    </w:p>
    <w:p>
      <w:pPr>
        <w:pStyle w:val="ListBullet"/>
        <w:widowControl/>
      </w:pPr>
      <w:r>
        <w:t>Safeguarding and Child Protection Policy;</w:t>
      </w:r>
    </w:p>
    <w:p>
      <w:pPr>
        <w:pStyle w:val="ListBullet"/>
        <w:widowControl/>
      </w:pPr>
      <w:r>
        <w:t>Online Safety Policy;</w:t>
      </w:r>
    </w:p>
    <w:p>
      <w:pPr>
        <w:pStyle w:val="ListBullet"/>
        <w:widowControl/>
      </w:pPr>
      <w:r>
        <w:t>Relationships and Behaviour Policy;</w:t>
      </w:r>
    </w:p>
    <w:p>
      <w:pPr>
        <w:pStyle w:val="ListBullet"/>
        <w:widowControl/>
      </w:pPr>
      <w:r>
        <w:t>Anti-Bullying Policy;</w:t>
      </w:r>
    </w:p>
    <w:p>
      <w:pPr>
        <w:pStyle w:val="ListBullet"/>
        <w:widowControl/>
      </w:pPr>
      <w:r>
        <w:t>SEND and Inclusion Policy and SEND Information Report;</w:t>
      </w:r>
    </w:p>
    <w:p>
      <w:pPr>
        <w:pStyle w:val="ListBullet"/>
        <w:widowControl/>
      </w:pPr>
      <w:r>
        <w:t>Equality Information and Objectives;</w:t>
      </w:r>
    </w:p>
    <w:p>
      <w:pPr>
        <w:pStyle w:val="ListBullet"/>
        <w:widowControl/>
      </w:pPr>
      <w:r>
        <w:t>Mental Health and Wellbeing provision;</w:t>
      </w:r>
    </w:p>
    <w:p>
      <w:pPr>
        <w:pStyle w:val="ListBullet"/>
        <w:widowControl/>
      </w:pPr>
      <w:r>
        <w:t>Science curriculum;</w:t>
      </w:r>
    </w:p>
    <w:p>
      <w:pPr>
        <w:pStyle w:val="ListBullet"/>
        <w:widowControl/>
      </w:pPr>
      <w:r>
        <w:t>Computing curriculum; and</w:t>
      </w:r>
    </w:p>
    <w:p>
      <w:pPr>
        <w:pStyle w:val="ListBullet"/>
        <w:widowControl/>
      </w:pPr>
      <w:r>
        <w:t>Religious Education and Catholic Life and Mission provision.</w:t>
      </w:r>
    </w:p>
    <w:p>
      <w:pPr>
        <w:pStyle w:val="Heading1"/>
        <w:widowControl/>
      </w:pPr>
      <w:r>
        <w:t>21. Monitoring and evaluation</w:t>
      </w:r>
    </w:p>
    <w:p>
      <w:pPr>
        <w:widowControl/>
      </w:pPr>
      <w:r>
        <w:t>The PSHE/RSE subject leader and Headteacher will monitor implementation through curriculum plans, lesson visits or learning walks, scrutiny of appropriate pupil work, assessment information, pupil voice, staff discussion and parent feedback. Monitoring will check that:</w:t>
      </w:r>
    </w:p>
    <w:p>
      <w:pPr>
        <w:pStyle w:val="ListBullet"/>
        <w:widowControl/>
      </w:pPr>
      <w:r>
        <w:t>statutory and Catholic curriculum expectations are met;</w:t>
      </w:r>
    </w:p>
    <w:p>
      <w:pPr>
        <w:pStyle w:val="ListBullet"/>
        <w:widowControl/>
      </w:pPr>
      <w:r>
        <w:t>annual safeguarding and online-safety learning is secured;</w:t>
      </w:r>
    </w:p>
    <w:p>
      <w:pPr>
        <w:pStyle w:val="ListBullet"/>
        <w:widowControl/>
      </w:pPr>
      <w:r>
        <w:t>sensitive content is taught to the correct age and developmental group;</w:t>
      </w:r>
    </w:p>
    <w:p>
      <w:pPr>
        <w:pStyle w:val="ListBullet"/>
        <w:widowControl/>
      </w:pPr>
      <w:r>
        <w:t>Reception and younger pupils are protected from older content;</w:t>
      </w:r>
    </w:p>
    <w:p>
      <w:pPr>
        <w:pStyle w:val="ListBullet"/>
        <w:widowControl/>
      </w:pPr>
      <w:r>
        <w:t>pupils with SEND receive accessible and appropriately ambitious teaching;</w:t>
      </w:r>
    </w:p>
    <w:p>
      <w:pPr>
        <w:pStyle w:val="ListBullet"/>
        <w:widowControl/>
      </w:pPr>
      <w:r>
        <w:t>resources remain accurate, suitable and consistent with policy;</w:t>
      </w:r>
    </w:p>
    <w:p>
      <w:pPr>
        <w:pStyle w:val="ListBullet"/>
        <w:widowControl/>
      </w:pPr>
      <w:r>
        <w:t>parents receive appropriate information and consultation; and</w:t>
      </w:r>
    </w:p>
    <w:p>
      <w:pPr>
        <w:pStyle w:val="ListBullet"/>
        <w:widowControl/>
      </w:pPr>
      <w:r>
        <w:t>pupils can explain how to seek help without being required to disclose personal experiences.</w:t>
      </w:r>
    </w:p>
    <w:p>
      <w:pPr>
        <w:widowControl/>
      </w:pPr>
      <w:r>
        <w:t>Evaluation findings will inform curriculum development, staff training and policy review. Governors remain ultimately responsible for the policy.</w:t>
      </w:r>
    </w:p>
    <w:p>
      <w:pPr>
        <w:pStyle w:val="Heading1"/>
        <w:widowControl/>
      </w:pPr>
      <w:r>
        <w:t>Appendix 1: Curriculum delivery summary</w:t>
      </w:r>
    </w:p>
    <w:tbl>
      <w:tblPr>
        <w:tblW w:type="auto" w:w="0"/>
        <w:jc w:val="center"/>
        <w:tblLayout w:type="fixed"/>
        <w:tblLook w:firstColumn="1" w:firstRow="1" w:lastColumn="0" w:lastRow="0" w:noHBand="0" w:noVBand="1" w:val="04A0"/>
      </w:tblPr>
      <w:tblGrid>
        <w:gridCol w:w="2452"/>
        <w:gridCol w:w="2452"/>
        <w:gridCol w:w="2452"/>
        <w:gridCol w:w="2452"/>
      </w:tblGrid>
      <w:tr>
        <w:trPr>
          <w:tblHeader w:val="true"/>
        </w:trPr>
        <w:tc>
          <w:tcPr>
            <w:tcW w:type="dxa" w:w="1531"/>
            <w:tcMar>
              <w:top w:w="90" w:type="dxa"/>
              <w:start w:w="120" w:type="dxa"/>
              <w:bottom w:w="90" w:type="dxa"/>
              <w:end w:w="120" w:type="dxa"/>
            </w:tcMar>
            <w:shd w:fill="003B70"/>
          </w:tcPr>
          <w:p>
            <w:pPr>
              <w:spacing w:after="0"/>
            </w:pPr>
            <w:r>
              <w:rPr>
                <w:b/>
                <w:color w:val="FFFFFF"/>
              </w:rPr>
              <w:t>Provision</w:t>
            </w:r>
          </w:p>
        </w:tc>
        <w:tc>
          <w:tcPr>
            <w:tcW w:type="dxa" w:w="2381"/>
            <w:tcMar>
              <w:top w:w="90" w:type="dxa"/>
              <w:start w:w="120" w:type="dxa"/>
              <w:bottom w:w="90" w:type="dxa"/>
              <w:end w:w="120" w:type="dxa"/>
            </w:tcMar>
            <w:shd w:fill="003B70"/>
          </w:tcPr>
          <w:p>
            <w:pPr>
              <w:spacing w:after="0"/>
            </w:pPr>
            <w:r>
              <w:rPr>
                <w:b/>
                <w:color w:val="FFFFFF"/>
              </w:rPr>
              <w:t>Reception</w:t>
            </w:r>
          </w:p>
        </w:tc>
        <w:tc>
          <w:tcPr>
            <w:tcW w:type="dxa" w:w="2891"/>
            <w:tcMar>
              <w:top w:w="90" w:type="dxa"/>
              <w:start w:w="120" w:type="dxa"/>
              <w:bottom w:w="90" w:type="dxa"/>
              <w:end w:w="120" w:type="dxa"/>
            </w:tcMar>
            <w:shd w:fill="003B70"/>
          </w:tcPr>
          <w:p>
            <w:pPr>
              <w:spacing w:after="0"/>
            </w:pPr>
            <w:r>
              <w:rPr>
                <w:b/>
                <w:color w:val="FFFFFF"/>
              </w:rPr>
              <w:t>Years 1/2/3</w:t>
            </w:r>
          </w:p>
        </w:tc>
        <w:tc>
          <w:tcPr>
            <w:tcW w:type="dxa" w:w="2891"/>
            <w:tcMar>
              <w:top w:w="90" w:type="dxa"/>
              <w:start w:w="120" w:type="dxa"/>
              <w:bottom w:w="90" w:type="dxa"/>
              <w:end w:w="120" w:type="dxa"/>
            </w:tcMar>
            <w:shd w:fill="003B70"/>
          </w:tcPr>
          <w:p>
            <w:pPr>
              <w:spacing w:after="0"/>
            </w:pPr>
            <w:r>
              <w:rPr>
                <w:b/>
                <w:color w:val="FFFFFF"/>
              </w:rPr>
              <w:t>Years 4/5/6</w:t>
            </w:r>
          </w:p>
        </w:tc>
      </w:tr>
      <w:tr>
        <w:tc>
          <w:tcPr>
            <w:tcW w:type="dxa" w:w="1531"/>
            <w:tcMar>
              <w:top w:w="100" w:type="dxa"/>
              <w:start w:w="110" w:type="dxa"/>
              <w:bottom w:w="100" w:type="dxa"/>
              <w:end w:w="110" w:type="dxa"/>
            </w:tcMar>
            <w:shd w:fill="EAF2F8"/>
            <w:vAlign w:val="center"/>
          </w:tcPr>
          <w:p>
            <w:pPr>
              <w:spacing w:after="0"/>
            </w:pPr>
            <w:r>
              <w:t>Organisation</w:t>
            </w:r>
          </w:p>
        </w:tc>
        <w:tc>
          <w:tcPr>
            <w:tcW w:type="dxa" w:w="2381"/>
            <w:tcMar>
              <w:top w:w="100" w:type="dxa"/>
              <w:start w:w="110" w:type="dxa"/>
              <w:bottom w:w="100" w:type="dxa"/>
              <w:end w:w="110" w:type="dxa"/>
            </w:tcMar>
            <w:shd w:fill="EAF2F8"/>
            <w:vAlign w:val="center"/>
          </w:tcPr>
          <w:p>
            <w:pPr>
              <w:spacing w:after="0"/>
            </w:pPr>
            <w:r>
              <w:t>Annual EYFS pathway</w:t>
            </w:r>
          </w:p>
        </w:tc>
        <w:tc>
          <w:tcPr>
            <w:tcW w:type="dxa" w:w="2891"/>
            <w:tcMar>
              <w:top w:w="100" w:type="dxa"/>
              <w:start w:w="110" w:type="dxa"/>
              <w:bottom w:w="100" w:type="dxa"/>
              <w:end w:w="110" w:type="dxa"/>
            </w:tcMar>
            <w:shd w:fill="EAF2F8"/>
            <w:vAlign w:val="center"/>
          </w:tcPr>
          <w:p>
            <w:pPr>
              <w:spacing w:after="0"/>
            </w:pPr>
            <w:r>
              <w:t>Three-year Cycle A/B/C</w:t>
            </w:r>
          </w:p>
        </w:tc>
        <w:tc>
          <w:tcPr>
            <w:tcW w:type="dxa" w:w="2891"/>
            <w:tcMar>
              <w:top w:w="100" w:type="dxa"/>
              <w:start w:w="110" w:type="dxa"/>
              <w:bottom w:w="100" w:type="dxa"/>
              <w:end w:w="110" w:type="dxa"/>
            </w:tcMar>
            <w:shd w:fill="EAF2F8"/>
            <w:vAlign w:val="center"/>
          </w:tcPr>
          <w:p>
            <w:pPr>
              <w:spacing w:after="0"/>
            </w:pPr>
            <w:r>
              <w:t>Three-year Cycle A/B/C</w:t>
            </w:r>
          </w:p>
        </w:tc>
      </w:tr>
      <w:tr>
        <w:tc>
          <w:tcPr>
            <w:tcW w:type="dxa" w:w="1531"/>
            <w:tcMar>
              <w:top w:w="100" w:type="dxa"/>
              <w:start w:w="110" w:type="dxa"/>
              <w:bottom w:w="100" w:type="dxa"/>
              <w:end w:w="110" w:type="dxa"/>
            </w:tcMar>
            <w:shd w:fill="FFFFFF"/>
            <w:vAlign w:val="center"/>
          </w:tcPr>
          <w:p>
            <w:pPr>
              <w:spacing w:after="0"/>
            </w:pPr>
            <w:r>
              <w:t>Main PSHE resource</w:t>
            </w:r>
          </w:p>
        </w:tc>
        <w:tc>
          <w:tcPr>
            <w:tcW w:type="dxa" w:w="2381"/>
            <w:tcMar>
              <w:top w:w="100" w:type="dxa"/>
              <w:start w:w="110" w:type="dxa"/>
              <w:bottom w:w="100" w:type="dxa"/>
              <w:end w:w="110" w:type="dxa"/>
            </w:tcMar>
            <w:shd w:fill="FFFFFF"/>
            <w:vAlign w:val="center"/>
          </w:tcPr>
          <w:p>
            <w:pPr>
              <w:spacing w:after="0"/>
            </w:pPr>
            <w:r>
              <w:t>Coram SCARF EYFS</w:t>
            </w:r>
          </w:p>
        </w:tc>
        <w:tc>
          <w:tcPr>
            <w:tcW w:type="dxa" w:w="2891"/>
            <w:tcMar>
              <w:top w:w="100" w:type="dxa"/>
              <w:start w:w="110" w:type="dxa"/>
              <w:bottom w:w="100" w:type="dxa"/>
              <w:end w:w="110" w:type="dxa"/>
            </w:tcMar>
            <w:shd w:fill="FFFFFF"/>
            <w:vAlign w:val="center"/>
          </w:tcPr>
          <w:p>
            <w:pPr>
              <w:spacing w:after="0"/>
            </w:pPr>
            <w:r>
              <w:t>Coram SCARF mixed-age planning</w:t>
            </w:r>
          </w:p>
        </w:tc>
        <w:tc>
          <w:tcPr>
            <w:tcW w:type="dxa" w:w="2891"/>
            <w:tcMar>
              <w:top w:w="100" w:type="dxa"/>
              <w:start w:w="110" w:type="dxa"/>
              <w:bottom w:w="100" w:type="dxa"/>
              <w:end w:w="110" w:type="dxa"/>
            </w:tcMar>
            <w:shd w:fill="FFFFFF"/>
            <w:vAlign w:val="center"/>
          </w:tcPr>
          <w:p>
            <w:pPr>
              <w:spacing w:after="0"/>
            </w:pPr>
            <w:r>
              <w:t>Coram SCARF mixed-age planning</w:t>
            </w:r>
          </w:p>
        </w:tc>
      </w:tr>
      <w:tr>
        <w:tc>
          <w:tcPr>
            <w:tcW w:type="dxa" w:w="1531"/>
            <w:tcMar>
              <w:top w:w="100" w:type="dxa"/>
              <w:start w:w="110" w:type="dxa"/>
              <w:bottom w:w="100" w:type="dxa"/>
              <w:end w:w="110" w:type="dxa"/>
            </w:tcMar>
            <w:shd w:fill="EAF2F8"/>
            <w:vAlign w:val="center"/>
          </w:tcPr>
          <w:p>
            <w:pPr>
              <w:spacing w:after="0"/>
            </w:pPr>
            <w:r>
              <w:t>Catholic RHE/RSE</w:t>
            </w:r>
          </w:p>
        </w:tc>
        <w:tc>
          <w:tcPr>
            <w:tcW w:type="dxa" w:w="2381"/>
            <w:tcMar>
              <w:top w:w="100" w:type="dxa"/>
              <w:start w:w="110" w:type="dxa"/>
              <w:bottom w:w="100" w:type="dxa"/>
              <w:end w:w="110" w:type="dxa"/>
            </w:tcMar>
            <w:shd w:fill="EAF2F8"/>
            <w:vAlign w:val="center"/>
          </w:tcPr>
          <w:p>
            <w:pPr>
              <w:spacing w:after="0"/>
            </w:pPr>
            <w:r>
              <w:t>Ten Ten EYFS pathway</w:t>
            </w:r>
          </w:p>
        </w:tc>
        <w:tc>
          <w:tcPr>
            <w:tcW w:type="dxa" w:w="2891"/>
            <w:tcMar>
              <w:top w:w="100" w:type="dxa"/>
              <w:start w:w="110" w:type="dxa"/>
              <w:bottom w:w="100" w:type="dxa"/>
              <w:end w:w="110" w:type="dxa"/>
            </w:tcMar>
            <w:shd w:fill="EAF2F8"/>
            <w:vAlign w:val="center"/>
          </w:tcPr>
          <w:p>
            <w:pPr>
              <w:spacing w:after="0"/>
            </w:pPr>
            <w:r>
              <w:t>Ten Ten KS1/LKS2 selected by age and stage</w:t>
            </w:r>
          </w:p>
        </w:tc>
        <w:tc>
          <w:tcPr>
            <w:tcW w:type="dxa" w:w="2891"/>
            <w:tcMar>
              <w:top w:w="100" w:type="dxa"/>
              <w:start w:w="110" w:type="dxa"/>
              <w:bottom w:w="100" w:type="dxa"/>
              <w:end w:w="110" w:type="dxa"/>
            </w:tcMar>
            <w:shd w:fill="EAF2F8"/>
            <w:vAlign w:val="center"/>
          </w:tcPr>
          <w:p>
            <w:pPr>
              <w:spacing w:after="0"/>
            </w:pPr>
            <w:r>
              <w:t>Ten Ten LKS2/UKS2 selected by age and stage</w:t>
            </w:r>
          </w:p>
        </w:tc>
      </w:tr>
      <w:tr>
        <w:tc>
          <w:tcPr>
            <w:tcW w:type="dxa" w:w="1531"/>
            <w:tcMar>
              <w:top w:w="100" w:type="dxa"/>
              <w:start w:w="110" w:type="dxa"/>
              <w:bottom w:w="100" w:type="dxa"/>
              <w:end w:w="110" w:type="dxa"/>
            </w:tcMar>
            <w:shd w:fill="FFFFFF"/>
            <w:vAlign w:val="center"/>
          </w:tcPr>
          <w:p>
            <w:pPr>
              <w:spacing w:after="0"/>
            </w:pPr>
            <w:r>
              <w:t>Non-negotiable</w:t>
            </w:r>
          </w:p>
        </w:tc>
        <w:tc>
          <w:tcPr>
            <w:tcW w:type="dxa" w:w="2381"/>
            <w:tcMar>
              <w:top w:w="100" w:type="dxa"/>
              <w:start w:w="110" w:type="dxa"/>
              <w:bottom w:w="100" w:type="dxa"/>
              <w:end w:w="110" w:type="dxa"/>
            </w:tcMar>
            <w:shd w:fill="FFFFFF"/>
            <w:vAlign w:val="center"/>
          </w:tcPr>
          <w:p>
            <w:pPr>
              <w:spacing w:after="0"/>
            </w:pPr>
            <w:r>
              <w:t>Safety and help-seeking annually</w:t>
            </w:r>
          </w:p>
        </w:tc>
        <w:tc>
          <w:tcPr>
            <w:tcW w:type="dxa" w:w="2891"/>
            <w:tcMar>
              <w:top w:w="100" w:type="dxa"/>
              <w:start w:w="110" w:type="dxa"/>
              <w:bottom w:w="100" w:type="dxa"/>
              <w:end w:w="110" w:type="dxa"/>
            </w:tcMar>
            <w:shd w:fill="FFFFFF"/>
            <w:vAlign w:val="center"/>
          </w:tcPr>
          <w:p>
            <w:pPr>
              <w:spacing w:after="0"/>
            </w:pPr>
            <w:r>
              <w:t>Annual safety; separate teaching where needed</w:t>
            </w:r>
          </w:p>
        </w:tc>
        <w:tc>
          <w:tcPr>
            <w:tcW w:type="dxa" w:w="2891"/>
            <w:tcMar>
              <w:top w:w="100" w:type="dxa"/>
              <w:start w:w="110" w:type="dxa"/>
              <w:bottom w:w="100" w:type="dxa"/>
              <w:end w:w="110" w:type="dxa"/>
            </w:tcMar>
            <w:shd w:fill="FFFFFF"/>
            <w:vAlign w:val="center"/>
          </w:tcPr>
          <w:p>
            <w:pPr>
              <w:spacing w:after="0"/>
            </w:pPr>
            <w:r>
              <w:t>Annual safety; separate Y4, Y5 and Y6 developmental teaching</w:t>
            </w:r>
          </w:p>
        </w:tc>
      </w:tr>
    </w:tbl>
    <w:p>
      <w:pPr>
        <w:pStyle w:val="Heading1"/>
        <w:widowControl/>
      </w:pPr>
      <w:r>
        <w:t>Appendix 2: Key references</w:t>
      </w:r>
    </w:p>
    <w:p>
      <w:pPr>
        <w:pStyle w:val="ListBullet"/>
        <w:widowControl/>
      </w:pPr>
      <w:r>
        <w:t>Department for Education, Relationships Education, Relationships and Sex Education and Health Education statutory guidance, revised July 2025, for introduction on 1 September 2026.</w:t>
      </w:r>
    </w:p>
    <w:p>
      <w:pPr>
        <w:pStyle w:val="ListBullet"/>
        <w:widowControl/>
      </w:pPr>
      <w:r>
        <w:t>Catholic Education Service, RSE Model Framework Policy to Support Schools, updated March 2026.</w:t>
      </w:r>
    </w:p>
    <w:p>
      <w:pPr>
        <w:pStyle w:val="ListBullet"/>
        <w:widowControl/>
      </w:pPr>
      <w:r>
        <w:t>Catholic Education Service, Relationship and Sex Education guidance and Catholic RSHE training materials.</w:t>
      </w:r>
    </w:p>
    <w:p>
      <w:pPr>
        <w:pStyle w:val="ListBullet"/>
        <w:widowControl/>
      </w:pPr>
      <w:r>
        <w:t>Coram Life Education, SCARF curriculum materials.</w:t>
      </w:r>
    </w:p>
    <w:p>
      <w:pPr>
        <w:pStyle w:val="ListBullet"/>
        <w:widowControl/>
      </w:pPr>
      <w:r>
        <w:t>Ten Ten Resources, Life to the Full Primary.</w:t>
      </w:r>
    </w:p>
    <w:p>
      <w:pPr>
        <w:pStyle w:val="ListBullet"/>
        <w:widowControl/>
      </w:pPr>
      <w:r>
        <w:t>St Mary’s PSHE, Relationships and Health Education Three-Year Overview.</w:t>
      </w:r>
    </w:p>
    <w:p>
      <w:pPr>
        <w:pStyle w:val="ListBullet"/>
        <w:widowControl/>
      </w:pPr>
      <w:r>
        <w:t>St Mary’s PSHE, Relationships and Health Education Progression of Knowledge, Skills and Vocabulary.</w:t>
      </w:r>
    </w:p>
    <w:p>
      <w:pPr>
        <w:pStyle w:val="Heading1"/>
        <w:widowControl/>
      </w:pPr>
      <w:r>
        <w:t>Approval record</w:t>
      </w:r>
    </w:p>
    <w:tbl>
      <w:tblPr>
        <w:tblW w:type="auto" w:w="0"/>
        <w:jc w:val="center"/>
        <w:tblLayout w:type="fixed"/>
        <w:tblLook w:firstColumn="1" w:firstRow="1" w:lastColumn="0" w:lastRow="0" w:noHBand="0" w:noVBand="1" w:val="04A0"/>
      </w:tblPr>
      <w:tblGrid>
        <w:gridCol w:w="4904"/>
        <w:gridCol w:w="4904"/>
      </w:tblGrid>
      <w:tr>
        <w:tc>
          <w:tcPr>
            <w:tcW w:type="dxa" w:w="2948"/>
            <w:tcMar>
              <w:top w:w="130" w:type="dxa"/>
              <w:start w:w="130" w:type="dxa"/>
              <w:bottom w:w="130" w:type="dxa"/>
              <w:end w:w="130" w:type="dxa"/>
            </w:tcMar>
            <w:vAlign w:val="center"/>
            <w:shd w:fill="EAF2F8"/>
          </w:tcPr>
          <w:p>
            <w:pPr>
              <w:spacing w:after="0"/>
            </w:pPr>
            <w:r>
              <w:rPr>
                <w:b/>
              </w:rPr>
              <w:t>Approved by</w:t>
            </w:r>
          </w:p>
        </w:tc>
        <w:tc>
          <w:tcPr>
            <w:tcW w:type="dxa" w:w="6746"/>
            <w:tcMar>
              <w:top w:w="130" w:type="dxa"/>
              <w:start w:w="130" w:type="dxa"/>
              <w:bottom w:w="130" w:type="dxa"/>
              <w:end w:w="130" w:type="dxa"/>
            </w:tcMar>
            <w:vAlign w:val="center"/>
          </w:tcPr>
          <w:p>
            <w:pPr>
              <w:spacing w:after="0"/>
            </w:pPr>
            <w:r/>
          </w:p>
        </w:tc>
      </w:tr>
      <w:tr>
        <w:tc>
          <w:tcPr>
            <w:tcW w:type="dxa" w:w="2948"/>
            <w:tcMar>
              <w:top w:w="130" w:type="dxa"/>
              <w:start w:w="130" w:type="dxa"/>
              <w:bottom w:w="130" w:type="dxa"/>
              <w:end w:w="130" w:type="dxa"/>
            </w:tcMar>
            <w:vAlign w:val="center"/>
            <w:shd w:fill="EAF2F8"/>
          </w:tcPr>
          <w:p>
            <w:pPr>
              <w:spacing w:after="0"/>
            </w:pPr>
            <w:r>
              <w:rPr>
                <w:b/>
              </w:rPr>
              <w:t>Approval date</w:t>
            </w:r>
          </w:p>
        </w:tc>
        <w:tc>
          <w:tcPr>
            <w:tcW w:type="dxa" w:w="6746"/>
            <w:tcMar>
              <w:top w:w="130" w:type="dxa"/>
              <w:start w:w="130" w:type="dxa"/>
              <w:bottom w:w="130" w:type="dxa"/>
              <w:end w:w="130" w:type="dxa"/>
            </w:tcMar>
            <w:vAlign w:val="center"/>
          </w:tcPr>
          <w:p>
            <w:pPr>
              <w:spacing w:after="0"/>
            </w:pPr>
            <w:r/>
          </w:p>
        </w:tc>
      </w:tr>
      <w:tr>
        <w:tc>
          <w:tcPr>
            <w:tcW w:type="dxa" w:w="2948"/>
            <w:tcMar>
              <w:top w:w="130" w:type="dxa"/>
              <w:start w:w="130" w:type="dxa"/>
              <w:bottom w:w="130" w:type="dxa"/>
              <w:end w:w="130" w:type="dxa"/>
            </w:tcMar>
            <w:vAlign w:val="center"/>
            <w:shd w:fill="EAF2F8"/>
          </w:tcPr>
          <w:p>
            <w:pPr>
              <w:spacing w:after="0"/>
            </w:pPr>
            <w:r>
              <w:rPr>
                <w:b/>
              </w:rPr>
              <w:t>Chair of Governors’ signature</w:t>
            </w:r>
          </w:p>
        </w:tc>
        <w:tc>
          <w:tcPr>
            <w:tcW w:type="dxa" w:w="6746"/>
            <w:tcMar>
              <w:top w:w="130" w:type="dxa"/>
              <w:start w:w="130" w:type="dxa"/>
              <w:bottom w:w="130" w:type="dxa"/>
              <w:end w:w="130" w:type="dxa"/>
            </w:tcMar>
            <w:vAlign w:val="center"/>
          </w:tcPr>
          <w:p>
            <w:pPr>
              <w:spacing w:after="0"/>
            </w:pPr>
            <w:r/>
          </w:p>
        </w:tc>
      </w:tr>
      <w:tr>
        <w:tc>
          <w:tcPr>
            <w:tcW w:type="dxa" w:w="2948"/>
            <w:tcMar>
              <w:top w:w="130" w:type="dxa"/>
              <w:start w:w="130" w:type="dxa"/>
              <w:bottom w:w="130" w:type="dxa"/>
              <w:end w:w="130" w:type="dxa"/>
            </w:tcMar>
            <w:vAlign w:val="center"/>
            <w:shd w:fill="EAF2F8"/>
          </w:tcPr>
          <w:p>
            <w:pPr>
              <w:spacing w:after="0"/>
            </w:pPr>
            <w:r>
              <w:rPr>
                <w:b/>
              </w:rPr>
              <w:t>Headteacher’s signature</w:t>
            </w:r>
          </w:p>
        </w:tc>
        <w:tc>
          <w:tcPr>
            <w:tcW w:type="dxa" w:w="6746"/>
            <w:tcMar>
              <w:top w:w="130" w:type="dxa"/>
              <w:start w:w="130" w:type="dxa"/>
              <w:bottom w:w="130" w:type="dxa"/>
              <w:end w:w="130" w:type="dxa"/>
            </w:tcMar>
            <w:vAlign w:val="center"/>
          </w:tcPr>
          <w:p>
            <w:pPr>
              <w:spacing w:after="0"/>
            </w:pPr>
            <w:r/>
          </w:p>
        </w:tc>
      </w:tr>
    </w:tbl>
    <w:sectPr w:rsidR="00FC693F" w:rsidRPr="0006063C" w:rsidSect="00034616">
      <w:headerReference w:type="default" r:id="rId9"/>
      <w:footerReference w:type="default" r:id="rId10"/>
      <w:pgSz w:w="11906" w:h="16838"/>
      <w:pgMar w:top="992" w:right="1049" w:bottom="935" w:left="1049" w:header="425" w:footer="425"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libri" w:hAnsi="Calibri"/>
        <w:color w:val="5B6573"/>
        <w:sz w:val="18"/>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Calibri" w:hAnsi="Calibri"/>
        <w:b/>
        <w:color w:val="003B70"/>
        <w:sz w:val="17"/>
      </w:rPr>
      <w:t>ST MARY’S RC PRIMARY SCHOOL  |  POLICY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64" w:lineRule="auto"/>
    </w:pPr>
    <w:rPr>
      <w:rFonts w:ascii="Calibri" w:hAnsi="Calibri"/>
      <w:color w:val="1F2933"/>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40"/>
      <w:outlineLvl w:val="0"/>
    </w:pPr>
    <w:rPr>
      <w:rFonts w:asciiTheme="majorHAnsi" w:eastAsiaTheme="majorEastAsia" w:hAnsiTheme="majorHAnsi" w:cstheme="majorBidi" w:ascii="Calibri" w:hAnsi="Calibri"/>
      <w:b/>
      <w:bCs/>
      <w:color w:val="003B70"/>
      <w:sz w:val="32"/>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Calibri" w:hAnsi="Calibri"/>
      <w:b/>
      <w:bCs/>
      <w:color w:val="1F5E96"/>
      <w:sz w:val="25"/>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Calibri" w:hAnsi="Calibri"/>
      <w:b/>
      <w:bCs/>
      <w:color w:val="003B7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00" w:line="240" w:lineRule="auto" w:before="0"/>
      <w:contextualSpacing/>
    </w:pPr>
    <w:rPr>
      <w:rFonts w:asciiTheme="majorHAnsi" w:eastAsiaTheme="majorEastAsia" w:hAnsiTheme="majorHAnsi" w:cstheme="majorBidi" w:ascii="Calibri" w:hAnsi="Calibri"/>
      <w:b/>
      <w:color w:val="003B7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before="0" w:after="240"/>
    </w:pPr>
    <w:rPr>
      <w:rFonts w:asciiTheme="majorHAnsi" w:eastAsiaTheme="majorEastAsia" w:hAnsiTheme="majorHAnsi" w:cstheme="majorBidi" w:ascii="Calibri" w:hAnsi="Calibri"/>
      <w:b w:val="0"/>
      <w:i/>
      <w:iCs/>
      <w:color w:val="5B6573"/>
      <w:spacing w:val="15"/>
      <w:sz w:val="2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line="264" w:lineRule="auto"/>
      <w:ind w:left="369" w:hanging="170"/>
      <w:contextualSpacing/>
    </w:pPr>
    <w:rPr>
      <w:rFonts w:ascii="Calibri" w:hAnsi="Calibri"/>
      <w:sz w:val="21"/>
    </w:rPr>
  </w:style>
  <w:style w:type="paragraph" w:styleId="ListBullet2">
    <w:name w:val="List Bullet 2"/>
    <w:basedOn w:val="Normal"/>
    <w:uiPriority w:val="99"/>
    <w:unhideWhenUsed/>
    <w:rsid w:val="00326F90"/>
    <w:pPr>
      <w:numPr>
        <w:numId w:val="2"/>
      </w:numPr>
      <w:spacing w:after="60" w:line="264" w:lineRule="auto"/>
      <w:ind w:left="709" w:hanging="170"/>
      <w:contextualSpacing/>
    </w:pPr>
    <w:rPr>
      <w:rFonts w:ascii="Calibri" w:hAnsi="Calibri"/>
      <w:sz w:val="21"/>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60" w:line="264" w:lineRule="auto"/>
      <w:ind w:left="369" w:hanging="170"/>
      <w:contextualSpacing/>
    </w:pPr>
    <w:rPr>
      <w:rFonts w:ascii="Calibri" w:hAnsi="Calibri"/>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olicycallout">
    <w:name w:val="Policy callout"/>
    <w:pPr>
      <w:spacing w:before="120" w:after="120"/>
      <w:ind w:left="198" w:right="198"/>
    </w:pPr>
    <w:rPr>
      <w:rFonts w:ascii="Calibri" w:hAnsi="Calibri"/>
      <w:b/>
      <w:color w:val="003B70"/>
      <w:sz w:val="2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PSHE, Relationships and Sex Education Policy</dc:title>
  <dc:subject>St Mary’s RC Primary School, Chipping</dc:subject>
  <dc:creator>St Mary’s RC Primary School</dc:creator>
  <cp:keywords>PSHE, RHE, RSE, RSHE, Catholic, policy, 2026</cp:keywords>
  <dc:description>generated by python-docx</dc:description>
  <cp:lastModifiedBy/>
  <cp:revision>1</cp:revision>
  <dcterms:created xsi:type="dcterms:W3CDTF">2013-12-23T23:15:00Z</dcterms:created>
  <dcterms:modified xsi:type="dcterms:W3CDTF">2013-12-23T23:15:00Z</dcterms:modified>
  <cp:category/>
</cp:coreProperties>
</file>