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color w:val="1F3864"/>
          <w:sz w:val="40"/>
        </w:rPr>
        <w:t>Accessibility Plan 2026–2029</w:t>
      </w:r>
    </w:p>
    <w:p>
      <w:pPr>
        <w:jc w:val="center"/>
      </w:pPr>
      <w:r>
        <w:rPr>
          <w:b/>
          <w:sz w:val="22"/>
        </w:rPr>
        <w:t>Rooted in Love • Faith in Action • Learning to Thrive</w:t>
      </w:r>
    </w:p>
    <w:tbl>
      <w:tblPr>
        <w:tblStyle w:val="TableGrid"/>
        <w:tblW w:type="auto" w:w="0"/>
        <w:jc w:val="center"/>
        <w:tblLook w:firstColumn="1" w:firstRow="1" w:lastColumn="0" w:lastRow="0" w:noHBand="0" w:noVBand="1" w:val="04A0"/>
      </w:tblPr>
      <w:tblGrid>
        <w:gridCol w:w="5184"/>
        <w:gridCol w:w="5184"/>
      </w:tblGrid>
      <w:tr>
        <w:tc>
          <w:tcPr>
            <w:tcW w:type="dxa" w:w="5184"/>
            <w:vAlign w:val="center"/>
          </w:tcPr>
          <w:p>
            <w:r>
              <w:rPr>
                <w:b/>
              </w:rPr>
              <w:t>Plan owner</w:t>
            </w:r>
          </w:p>
        </w:tc>
        <w:tc>
          <w:tcPr>
            <w:tcW w:type="dxa" w:w="5184"/>
            <w:vAlign w:val="center"/>
          </w:tcPr>
          <w:p>
            <w:r>
              <w:t>Headteacher / SENDCo</w:t>
            </w:r>
          </w:p>
        </w:tc>
      </w:tr>
      <w:tr>
        <w:tc>
          <w:tcPr>
            <w:tcW w:type="dxa" w:w="5184"/>
            <w:vAlign w:val="center"/>
          </w:tcPr>
          <w:p>
            <w:r>
              <w:rPr>
                <w:b/>
              </w:rPr>
              <w:t>Approved by</w:t>
            </w:r>
          </w:p>
        </w:tc>
        <w:tc>
          <w:tcPr>
            <w:tcW w:type="dxa" w:w="5184"/>
            <w:vAlign w:val="center"/>
          </w:tcPr>
          <w:p>
            <w:r>
              <w:t>Governing Body</w:t>
            </w:r>
          </w:p>
        </w:tc>
      </w:tr>
      <w:tr>
        <w:tc>
          <w:tcPr>
            <w:tcW w:type="dxa" w:w="5184"/>
            <w:vAlign w:val="center"/>
          </w:tcPr>
          <w:p>
            <w:r>
              <w:rPr>
                <w:b/>
              </w:rPr>
              <w:t>Approval date</w:t>
            </w:r>
          </w:p>
        </w:tc>
        <w:tc>
          <w:tcPr>
            <w:tcW w:type="dxa" w:w="5184"/>
            <w:vAlign w:val="center"/>
          </w:tcPr>
          <w:p>
            <w:r>
              <w:t>September 2026</w:t>
            </w:r>
          </w:p>
        </w:tc>
      </w:tr>
      <w:tr>
        <w:tc>
          <w:tcPr>
            <w:tcW w:type="dxa" w:w="5184"/>
            <w:vAlign w:val="center"/>
          </w:tcPr>
          <w:p>
            <w:r>
              <w:rPr>
                <w:b/>
              </w:rPr>
              <w:t>Plan period</w:t>
            </w:r>
          </w:p>
        </w:tc>
        <w:tc>
          <w:tcPr>
            <w:tcW w:type="dxa" w:w="5184"/>
            <w:vAlign w:val="center"/>
          </w:tcPr>
          <w:p>
            <w:r>
              <w:t>September 2026 – September 2029</w:t>
            </w:r>
          </w:p>
        </w:tc>
      </w:tr>
      <w:tr>
        <w:tc>
          <w:tcPr>
            <w:tcW w:type="dxa" w:w="5184"/>
            <w:vAlign w:val="center"/>
          </w:tcPr>
          <w:p>
            <w:r>
              <w:rPr>
                <w:b/>
              </w:rPr>
              <w:t>Monitoring and review</w:t>
            </w:r>
          </w:p>
        </w:tc>
        <w:tc>
          <w:tcPr>
            <w:tcW w:type="dxa" w:w="5184"/>
            <w:vAlign w:val="center"/>
          </w:tcPr>
          <w:p>
            <w:r>
              <w:t>Reviewed annually and revised sooner where needs, premises or statutory requirements change</w:t>
            </w:r>
          </w:p>
        </w:tc>
      </w:tr>
    </w:tbl>
    <w:p>
      <w:pPr>
        <w:pStyle w:val="Heading1"/>
      </w:pPr>
      <w:r>
        <w:t>1. Our vision and commitment</w:t>
      </w:r>
    </w:p>
    <w:p>
      <w:r>
        <w:t>At St Mary’s, we are a small school rooted in love, where every child is known, valued and cherished. We create a safe and nurturing environment where every child feels listened to, respected and able to thrive. Guided by our Catholic faith and the example of Mary, we recognise that every child is made in the image of God and has unique gifts, strengths and needs.</w:t>
      </w:r>
    </w:p>
    <w:p>
      <w:r>
        <w:t>Accessibility is therefore not an additional consideration: it is part of how we teach, plan, communicate and build our school community. We aim to anticipate and remove barriers wherever reasonably possible so that disabled pupils can participate fully in learning, worship, play, sport, visits, clubs and the wider life of St Mary’s.</w:t>
      </w:r>
    </w:p>
    <w:p>
      <w:r>
        <w:t>Our approach is closely linked to our SEND provision, our Great Teaching work and our Relationships and Behaviour Policy. Inclusion and high expectations go hand in hand: pupils should receive ambitious teaching alongside the reasonable adjustments, adaptations and support they need to succeed.</w:t>
      </w:r>
    </w:p>
    <w:p>
      <w:pPr>
        <w:pStyle w:val="Heading1"/>
      </w:pPr>
      <w:r>
        <w:t>2. Legal framework and purpose</w:t>
      </w:r>
    </w:p>
    <w:p>
      <w:r>
        <w:t>This plan has been prepared in accordance with the Equality Act 2010, including Schedule 10, and should be read alongside the SEND Code of Practice: 0 to 25 years. The Governing Body is responsible for ensuring that an Accessibility Plan is prepared, implemented, kept under review and adequately resourced.</w:t>
      </w:r>
    </w:p>
    <w:p>
      <w:r>
        <w:t>The plan sets out how St Mary’s will, over time:</w:t>
      </w:r>
    </w:p>
    <w:p>
      <w:pPr>
        <w:pStyle w:val="ListBullet"/>
      </w:pPr>
      <w:r>
        <w:t>increase the extent to which disabled pupils can participate in the curriculum;</w:t>
      </w:r>
    </w:p>
    <w:p>
      <w:pPr>
        <w:pStyle w:val="ListBullet"/>
      </w:pPr>
      <w:r>
        <w:t>improve the physical environment so disabled pupils can take advantage of education, facilities and services;</w:t>
      </w:r>
    </w:p>
    <w:p>
      <w:pPr>
        <w:pStyle w:val="ListBullet"/>
      </w:pPr>
      <w:r>
        <w:t>improve the availability and delivery of information to disabled pupils in accessible ways and within a reasonable time.</w:t>
      </w:r>
    </w:p>
    <w:p>
      <w:r>
        <w:t>The plan will be published on the school website and its key information will also be reflected within the school’s SEND Information Report. Progress will be monitored annually and the plan revised where necessary during its three-year life.</w:t>
      </w:r>
    </w:p>
    <w:p>
      <w:pPr>
        <w:pStyle w:val="Heading1"/>
      </w:pPr>
      <w:r>
        <w:t>3. What accessibility means at St Mary’s</w:t>
      </w:r>
    </w:p>
    <w:p>
      <w:r>
        <w:t>We understand disability in line with the Equality Act 2010. A pupil may be disabled even where they do not have an identified special educational need, and a pupil may have SEND without meeting the legal definition of disability. Our duties towards disabled pupils therefore sit alongside, but are not limited to, our SEND arrangements.</w:t>
      </w:r>
    </w:p>
    <w:p>
      <w:r>
        <w:t>We seek to identify barriers early through communication with families, pupil voice, teacher assessment and observation, progress meetings, SEND assessment tools, medical information and advice from external professionals. We will make reasonable adjustments and will not wait for a formal diagnosis where an identified barrier can reasonably be addressed.</w:t>
      </w:r>
    </w:p>
    <w:p>
      <w:pPr>
        <w:pStyle w:val="Heading1"/>
      </w:pPr>
      <w:r>
        <w:t>4. Links with SEND, adaptive teaching and Great Teaching</w:t>
      </w:r>
    </w:p>
    <w:p>
      <w:r>
        <w:t>High-quality adaptive teaching is at the heart of our universal offer. Teachers remain responsible for the progress, participation and wellbeing of all pupils in their class and plan from the outset for a range of needs.</w:t>
      </w:r>
    </w:p>
    <w:p>
      <w:r>
        <w:t>Our Great Teaching and SEND approach includes:</w:t>
      </w:r>
    </w:p>
    <w:p>
      <w:pPr>
        <w:pStyle w:val="ListBullet"/>
      </w:pPr>
      <w:r>
        <w:t>clear explanations, explicit instruction and purposeful teacher modelling;</w:t>
      </w:r>
    </w:p>
    <w:p>
      <w:pPr>
        <w:pStyle w:val="ListBullet"/>
      </w:pPr>
      <w:r>
        <w:t>scaffolding that supports success and is reduced when pupils are ready;</w:t>
      </w:r>
    </w:p>
    <w:p>
      <w:pPr>
        <w:pStyle w:val="ListBullet"/>
      </w:pPr>
      <w:r>
        <w:t>visual supports, chunked instructions and pre-teaching of vocabulary;</w:t>
      </w:r>
    </w:p>
    <w:p>
      <w:pPr>
        <w:pStyle w:val="ListBullet"/>
      </w:pPr>
      <w:r>
        <w:t>flexible grouping and additional guided practice;</w:t>
      </w:r>
    </w:p>
    <w:p>
      <w:pPr>
        <w:pStyle w:val="ListBullet"/>
      </w:pPr>
      <w:r>
        <w:t>retrieval, repetition and opportunities for overlearning;</w:t>
      </w:r>
    </w:p>
    <w:p>
      <w:pPr>
        <w:pStyle w:val="ListBullet"/>
      </w:pPr>
      <w:r>
        <w:t>careful checking for understanding and responsive formative assessment;</w:t>
      </w:r>
    </w:p>
    <w:p>
      <w:pPr>
        <w:pStyle w:val="ListBullet"/>
      </w:pPr>
      <w:r>
        <w:t>supportive classroom environments, predictable routines and high expectations for all;</w:t>
      </w:r>
    </w:p>
    <w:p>
      <w:pPr>
        <w:pStyle w:val="ListBullet"/>
      </w:pPr>
      <w:r>
        <w:t>reasonable adjustments to resources, recording, communication, sensory demands, movement, seating, equipment or the way a task is presented;</w:t>
      </w:r>
    </w:p>
    <w:p>
      <w:pPr>
        <w:pStyle w:val="ListBullet"/>
      </w:pPr>
      <w:r>
        <w:t>emotion coaching, co-regulation and access to appropriate regulation support where needed.</w:t>
      </w:r>
    </w:p>
    <w:p>
      <w:r>
        <w:t>Where strong universal provision is not sufficient, St Mary’s follows the graduated approach of Assess, Plan, Do, Review. Support may move through universal, targeted and specialist levels and may include evidence-informed interventions, personalised provision and advice from external professionals. SNAP and other assessment tools may be used to build a fuller picture of strengths and barriers to learning.</w:t>
      </w:r>
    </w:p>
    <w:p>
      <w:pPr>
        <w:pStyle w:val="Heading1"/>
      </w:pPr>
      <w:r>
        <w:t>5. Current accessibility at St Mary’s</w:t>
      </w:r>
    </w:p>
    <w:p>
      <w:pPr>
        <w:pStyle w:val="Heading2"/>
      </w:pPr>
      <w:r>
        <w:t>Curriculum and participation</w:t>
      </w:r>
    </w:p>
    <w:p>
      <w:r>
        <w:t>St Mary’s is a small school where staff know pupils and families well. Disabled pupils and pupils with SEND are included in the full life of school wherever reasonably possible. This includes classroom learning, collective worship, PE, playtimes, lunchtime, clubs, performances, educational visits, residential experiences and parish or community activities. Individual risk assessment and reasonable adjustment are used where required rather than unnecessary exclusion.</w:t>
      </w:r>
    </w:p>
    <w:p>
      <w:pPr>
        <w:pStyle w:val="Heading2"/>
      </w:pPr>
      <w:r>
        <w:t>Physical environment</w:t>
      </w:r>
    </w:p>
    <w:p>
      <w:r>
        <w:t>The main school is a single-storey building with wide corridors and several external access points. The hall is on the ground floor. The main entrance has ramped access and wide doors, and the reception area includes a low-level hatch. An accessible toilet is located outside the library and includes a handrail and emergency pull cord. Accessibility will continue to be considered whenever premises, playground or learning-environment improvements are planned.</w:t>
      </w:r>
    </w:p>
    <w:p>
      <w:pPr>
        <w:pStyle w:val="Heading2"/>
      </w:pPr>
      <w:r>
        <w:t>Information and communication</w:t>
      </w:r>
    </w:p>
    <w:p>
      <w:r>
        <w:t>School information is normally provided electronically and/or in print. Where a pupil or family requires an alternative format or method of communication, school will work with them to identify a reasonable and timely solution. Within lessons, pupils may access visual prompts, adapted print, assistive technology, symbols, enlarged materials, simplified layouts or other communication supports according to need.</w:t>
      </w:r>
    </w:p>
    <w:p>
      <w:pPr>
        <w:pStyle w:val="Heading1"/>
      </w:pPr>
      <w:r>
        <w:t>6. Individual planning and reasonable adjustments</w:t>
      </w:r>
    </w:p>
    <w:p>
      <w:r>
        <w:t>Reasonable adjustments are considered on an individual basis and reviewed as needs change. Depending on the pupil, arrangements may be recorded through SEND support plans, provision plans, Education, Health and Care Plans, Individual Healthcare Plans, behaviour/regulation plans, risk assessments or other appropriate school records.</w:t>
      </w:r>
    </w:p>
    <w:p>
      <w:r>
        <w:t>Where an individual would require assistance to evacuate safely in an emergency, a Personal Emergency Evacuation Plan (PEEP) will be considered and put in place where required. Relevant staff will know their responsibilities and arrangements will be reviewed following changes in need, staffing or the physical environment.</w:t>
      </w:r>
    </w:p>
    <w:p>
      <w:pPr>
        <w:pStyle w:val="Heading1"/>
      </w:pPr>
      <w:r>
        <w:t>7. Partnership, pupil voice and staff development</w:t>
      </w:r>
    </w:p>
    <w:p>
      <w:r>
        <w:t>Parents and carers know their children well and are important partners in identifying barriers and agreeing adjustments. Pupils will be given age-appropriate opportunities to explain what helps them, what makes access difficult and what could improve their participation. Their views will inform planning and review.</w:t>
      </w:r>
    </w:p>
    <w:p>
      <w:r>
        <w:t>Staff development will reflect the needs of pupils in school and our wider improvement priorities. This includes continuing professional development and coaching around adaptive teaching, SEND, communication, sensory and regulation needs, medical needs, behaviour and inclusion. Advice from specialist teachers, Speech and Language Therapy, Occupational Therapy, Educational Psychology, health professionals and other relevant services will be incorporated where appropriate.</w:t>
      </w:r>
    </w:p>
    <w:p>
      <w:pPr>
        <w:pStyle w:val="Heading1"/>
      </w:pPr>
      <w:r>
        <w:t>8. Monitoring and governance</w:t>
      </w:r>
    </w:p>
    <w:p>
      <w:r>
        <w:t>The Headteacher/SENDCo will coordinate implementation of the plan. Progress will be considered through SEND monitoring, lesson and classroom visits, pupil progress discussions, pupil and parent voice, staff feedback, premises and health-and-safety checks, educational-visit planning and governor monitoring. The Governing Body will receive updates on progress and ensure that reasonable resources are considered when actions require expenditure.</w:t>
      </w:r>
    </w:p>
    <w:p>
      <w:r>
        <w:t>The plan will be reviewed annually and revised sooner where a new pupil or adult need, significant premises change, accessibility concern, incident, statutory change or evaluation indicates that further action is required. A new three-year plan will be prepared at the end of this planning period.</w:t>
      </w:r>
    </w:p>
    <w:p>
      <w:pPr>
        <w:pStyle w:val="Heading1"/>
      </w:pPr>
      <w:r>
        <w:t>9. Accessibility Action Plan 2026–2029</w:t>
      </w:r>
    </w:p>
    <w:p>
      <w:r>
        <w:t>The action plan is deliberately practical and linked to St Mary’s current SEND and teaching priorities. It is a live plan: completed actions may become routine practice and new priorities may be added following review.</w:t>
      </w:r>
    </w:p>
    <w:p>
      <w:pPr>
        <w:pStyle w:val="Heading2"/>
      </w:pPr>
      <w:r>
        <w:t>Strand 1 – Increasing access to the curriculum</w:t>
      </w:r>
    </w:p>
    <w:tbl>
      <w:tblPr>
        <w:tblStyle w:val="TableGrid"/>
        <w:tblW w:type="auto" w:w="0"/>
        <w:jc w:val="center"/>
        <w:tblLook w:firstColumn="1" w:firstRow="1" w:lastColumn="0" w:lastRow="0" w:noHBand="0" w:noVBand="1" w:val="04A0"/>
      </w:tblPr>
      <w:tblGrid>
        <w:gridCol w:w="1728"/>
        <w:gridCol w:w="1728"/>
        <w:gridCol w:w="1728"/>
        <w:gridCol w:w="1728"/>
        <w:gridCol w:w="1728"/>
        <w:gridCol w:w="1728"/>
      </w:tblGrid>
      <w:tr>
        <w:tc>
          <w:tcPr>
            <w:tcW w:type="dxa" w:w="1728"/>
          </w:tcPr>
          <w:p>
            <w:r>
              <w:rPr>
                <w:b/>
              </w:rPr>
              <w:t>Priority / target</w:t>
            </w:r>
          </w:p>
        </w:tc>
        <w:tc>
          <w:tcPr>
            <w:tcW w:type="dxa" w:w="3672"/>
          </w:tcPr>
          <w:p>
            <w:r>
              <w:rPr>
                <w:b/>
              </w:rPr>
              <w:t>Actions at St Mary’s</w:t>
            </w:r>
          </w:p>
        </w:tc>
        <w:tc>
          <w:tcPr>
            <w:tcW w:type="dxa" w:w="1080"/>
          </w:tcPr>
          <w:p>
            <w:r>
              <w:rPr>
                <w:b/>
              </w:rPr>
              <w:t>Lead</w:t>
            </w:r>
          </w:p>
        </w:tc>
        <w:tc>
          <w:tcPr>
            <w:tcW w:type="dxa" w:w="1224"/>
          </w:tcPr>
          <w:p>
            <w:r>
              <w:rPr>
                <w:b/>
              </w:rPr>
              <w:t>Timescale</w:t>
            </w:r>
          </w:p>
        </w:tc>
        <w:tc>
          <w:tcPr>
            <w:tcW w:type="dxa" w:w="2088"/>
          </w:tcPr>
          <w:p>
            <w:r>
              <w:rPr>
                <w:b/>
              </w:rPr>
              <w:t>Success / evidence</w:t>
            </w:r>
          </w:p>
        </w:tc>
        <w:tc>
          <w:tcPr>
            <w:tcW w:type="dxa" w:w="936"/>
          </w:tcPr>
          <w:p>
            <w:r>
              <w:rPr>
                <w:b/>
              </w:rPr>
              <w:t>Review</w:t>
            </w:r>
          </w:p>
        </w:tc>
      </w:tr>
      <w:tr>
        <w:tc>
          <w:tcPr>
            <w:tcW w:type="dxa" w:w="1728"/>
          </w:tcPr>
          <w:p>
            <w:r>
              <w:t>Embed accessible Great Teaching</w:t>
            </w:r>
          </w:p>
        </w:tc>
        <w:tc>
          <w:tcPr>
            <w:tcW w:type="dxa" w:w="3672"/>
          </w:tcPr>
          <w:p>
            <w:r>
              <w:t>Use adaptive teaching consistently: explicit instruction and modelling, scaffolding, visual support, chunking, vocabulary pre-teaching, flexible grouping, retrieval and guided practice. Use monitoring/coaching to identify where further development is needed.</w:t>
            </w:r>
          </w:p>
        </w:tc>
        <w:tc>
          <w:tcPr>
            <w:tcW w:type="dxa" w:w="1080"/>
          </w:tcPr>
          <w:p>
            <w:r>
              <w:t>HT / teachers</w:t>
            </w:r>
          </w:p>
        </w:tc>
        <w:tc>
          <w:tcPr>
            <w:tcW w:type="dxa" w:w="1224"/>
          </w:tcPr>
          <w:p>
            <w:r>
              <w:t>2026–27 and ongoing</w:t>
            </w:r>
          </w:p>
        </w:tc>
        <w:tc>
          <w:tcPr>
            <w:tcW w:type="dxa" w:w="2088"/>
          </w:tcPr>
          <w:p>
            <w:r>
              <w:t>Disabled pupils access ambitious learning; monitoring shows consistent adaptations and strong participation.</w:t>
            </w:r>
          </w:p>
        </w:tc>
        <w:tc>
          <w:tcPr>
            <w:tcW w:type="dxa" w:w="936"/>
          </w:tcPr>
          <w:p>
            <w:r>
              <w:t>Annual</w:t>
            </w:r>
          </w:p>
        </w:tc>
      </w:tr>
      <w:tr>
        <w:tc>
          <w:tcPr>
            <w:tcW w:type="dxa" w:w="1728"/>
          </w:tcPr>
          <w:p>
            <w:r>
              <w:t>Strengthen graduated SEND provision</w:t>
            </w:r>
          </w:p>
        </w:tc>
        <w:tc>
          <w:tcPr>
            <w:tcW w:type="dxa" w:w="3672"/>
          </w:tcPr>
          <w:p>
            <w:r>
              <w:t>Use Assess–Plan–Do–Review, SNAP/other appropriate assessment, pupil progress information and pupil/parent voice to identify barriers. Match universal, targeted and specialist support to need and review impact.</w:t>
            </w:r>
          </w:p>
        </w:tc>
        <w:tc>
          <w:tcPr>
            <w:tcW w:type="dxa" w:w="1080"/>
          </w:tcPr>
          <w:p>
            <w:r>
              <w:t>SENDCo / teachers</w:t>
            </w:r>
          </w:p>
        </w:tc>
        <w:tc>
          <w:tcPr>
            <w:tcW w:type="dxa" w:w="1224"/>
          </w:tcPr>
          <w:p>
            <w:r>
              <w:t>Ongoing</w:t>
            </w:r>
          </w:p>
        </w:tc>
        <w:tc>
          <w:tcPr>
            <w:tcW w:type="dxa" w:w="2088"/>
          </w:tcPr>
          <w:p>
            <w:r>
              <w:t>Support is timely, proportionate and reviewed; pupils make progress from their starting points.</w:t>
            </w:r>
          </w:p>
        </w:tc>
        <w:tc>
          <w:tcPr>
            <w:tcW w:type="dxa" w:w="936"/>
          </w:tcPr>
          <w:p>
            <w:r>
              <w:t>Termly</w:t>
            </w:r>
          </w:p>
        </w:tc>
      </w:tr>
      <w:tr>
        <w:tc>
          <w:tcPr>
            <w:tcW w:type="dxa" w:w="1728"/>
          </w:tcPr>
          <w:p>
            <w:r>
              <w:t>Accessible curriculum resources</w:t>
            </w:r>
          </w:p>
        </w:tc>
        <w:tc>
          <w:tcPr>
            <w:tcW w:type="dxa" w:w="3672"/>
          </w:tcPr>
          <w:p>
            <w:r>
              <w:t>Audit and adapt print, visuals, manipulatives, seating, sensory supports, technology and specialist equipment in response to identified need. Seek external advice where necessary.</w:t>
            </w:r>
          </w:p>
        </w:tc>
        <w:tc>
          <w:tcPr>
            <w:tcW w:type="dxa" w:w="1080"/>
          </w:tcPr>
          <w:p>
            <w:r>
              <w:t>SENDCo / staff</w:t>
            </w:r>
          </w:p>
        </w:tc>
        <w:tc>
          <w:tcPr>
            <w:tcW w:type="dxa" w:w="1224"/>
          </w:tcPr>
          <w:p>
            <w:r>
              <w:t>As required</w:t>
            </w:r>
          </w:p>
        </w:tc>
        <w:tc>
          <w:tcPr>
            <w:tcW w:type="dxa" w:w="2088"/>
          </w:tcPr>
          <w:p>
            <w:r>
              <w:t>Pupils have the resources and auxiliary aids needed to participate with increasing independence.</w:t>
            </w:r>
          </w:p>
        </w:tc>
        <w:tc>
          <w:tcPr>
            <w:tcW w:type="dxa" w:w="936"/>
          </w:tcPr>
          <w:p>
            <w:r>
              <w:t>Ongoing</w:t>
            </w:r>
          </w:p>
        </w:tc>
      </w:tr>
      <w:tr>
        <w:tc>
          <w:tcPr>
            <w:tcW w:type="dxa" w:w="1728"/>
          </w:tcPr>
          <w:p>
            <w:r>
              <w:t>Full access to wider school life</w:t>
            </w:r>
          </w:p>
        </w:tc>
        <w:tc>
          <w:tcPr>
            <w:tcW w:type="dxa" w:w="3672"/>
          </w:tcPr>
          <w:p>
            <w:r>
              <w:t>Plan reasonable adjustments for PE, worship, clubs, performances, visits, residentials and community/parish activities. Accessibility forms part of visit and activity risk assessment.</w:t>
            </w:r>
          </w:p>
        </w:tc>
        <w:tc>
          <w:tcPr>
            <w:tcW w:type="dxa" w:w="1080"/>
          </w:tcPr>
          <w:p>
            <w:r>
              <w:t>HT / EVC / staff</w:t>
            </w:r>
          </w:p>
        </w:tc>
        <w:tc>
          <w:tcPr>
            <w:tcW w:type="dxa" w:w="1224"/>
          </w:tcPr>
          <w:p>
            <w:r>
              <w:t>Ongoing</w:t>
            </w:r>
          </w:p>
        </w:tc>
        <w:tc>
          <w:tcPr>
            <w:tcW w:type="dxa" w:w="2088"/>
          </w:tcPr>
          <w:p>
            <w:r>
              <w:t>Disabled pupils participate alongside peers wherever reasonably possible; exclusions from activities are exceptional and justified.</w:t>
            </w:r>
          </w:p>
        </w:tc>
        <w:tc>
          <w:tcPr>
            <w:tcW w:type="dxa" w:w="936"/>
          </w:tcPr>
          <w:p>
            <w:r>
              <w:t>Each activity</w:t>
            </w:r>
          </w:p>
        </w:tc>
      </w:tr>
      <w:tr>
        <w:tc>
          <w:tcPr>
            <w:tcW w:type="dxa" w:w="1728"/>
          </w:tcPr>
          <w:p>
            <w:r>
              <w:t>Develop pupil independence and voice</w:t>
            </w:r>
          </w:p>
        </w:tc>
        <w:tc>
          <w:tcPr>
            <w:tcW w:type="dxa" w:w="3672"/>
          </w:tcPr>
          <w:p>
            <w:r>
              <w:t>Ask pupils what helps them learn and participate; involve them in support-plan reviews and decisions about reasonable adjustments.</w:t>
            </w:r>
          </w:p>
        </w:tc>
        <w:tc>
          <w:tcPr>
            <w:tcW w:type="dxa" w:w="1080"/>
          </w:tcPr>
          <w:p>
            <w:r>
              <w:t>Teachers / SENDCo</w:t>
            </w:r>
          </w:p>
        </w:tc>
        <w:tc>
          <w:tcPr>
            <w:tcW w:type="dxa" w:w="1224"/>
          </w:tcPr>
          <w:p>
            <w:r>
              <w:t>Ongoing</w:t>
            </w:r>
          </w:p>
        </w:tc>
        <w:tc>
          <w:tcPr>
            <w:tcW w:type="dxa" w:w="2088"/>
          </w:tcPr>
          <w:p>
            <w:r>
              <w:t>Pupils can describe helpful strategies and feel heard in decisions affecting them.</w:t>
            </w:r>
          </w:p>
        </w:tc>
        <w:tc>
          <w:tcPr>
            <w:tcW w:type="dxa" w:w="936"/>
          </w:tcPr>
          <w:p>
            <w:r>
              <w:t>Termly</w:t>
            </w:r>
          </w:p>
        </w:tc>
      </w:tr>
    </w:tbl>
    <w:p/>
    <w:p>
      <w:pPr>
        <w:pStyle w:val="Heading2"/>
      </w:pPr>
      <w:r>
        <w:t>Strand 2 – Improving the physical environment</w:t>
      </w:r>
    </w:p>
    <w:tbl>
      <w:tblPr>
        <w:tblStyle w:val="TableGrid"/>
        <w:tblW w:type="auto" w:w="0"/>
        <w:jc w:val="center"/>
        <w:tblLook w:firstColumn="1" w:firstRow="1" w:lastColumn="0" w:lastRow="0" w:noHBand="0" w:noVBand="1" w:val="04A0"/>
      </w:tblPr>
      <w:tblGrid>
        <w:gridCol w:w="1728"/>
        <w:gridCol w:w="1728"/>
        <w:gridCol w:w="1728"/>
        <w:gridCol w:w="1728"/>
        <w:gridCol w:w="1728"/>
        <w:gridCol w:w="1728"/>
      </w:tblGrid>
      <w:tr>
        <w:tc>
          <w:tcPr>
            <w:tcW w:type="dxa" w:w="1728"/>
          </w:tcPr>
          <w:p>
            <w:r>
              <w:rPr>
                <w:b/>
              </w:rPr>
              <w:t>Priority / target</w:t>
            </w:r>
          </w:p>
        </w:tc>
        <w:tc>
          <w:tcPr>
            <w:tcW w:type="dxa" w:w="3672"/>
          </w:tcPr>
          <w:p>
            <w:r>
              <w:rPr>
                <w:b/>
              </w:rPr>
              <w:t>Actions at St Mary’s</w:t>
            </w:r>
          </w:p>
        </w:tc>
        <w:tc>
          <w:tcPr>
            <w:tcW w:type="dxa" w:w="1080"/>
          </w:tcPr>
          <w:p>
            <w:r>
              <w:rPr>
                <w:b/>
              </w:rPr>
              <w:t>Lead</w:t>
            </w:r>
          </w:p>
        </w:tc>
        <w:tc>
          <w:tcPr>
            <w:tcW w:type="dxa" w:w="1224"/>
          </w:tcPr>
          <w:p>
            <w:r>
              <w:rPr>
                <w:b/>
              </w:rPr>
              <w:t>Timescale</w:t>
            </w:r>
          </w:p>
        </w:tc>
        <w:tc>
          <w:tcPr>
            <w:tcW w:type="dxa" w:w="2088"/>
          </w:tcPr>
          <w:p>
            <w:r>
              <w:rPr>
                <w:b/>
              </w:rPr>
              <w:t>Success / evidence</w:t>
            </w:r>
          </w:p>
        </w:tc>
        <w:tc>
          <w:tcPr>
            <w:tcW w:type="dxa" w:w="936"/>
          </w:tcPr>
          <w:p>
            <w:r>
              <w:rPr>
                <w:b/>
              </w:rPr>
              <w:t>Review</w:t>
            </w:r>
          </w:p>
        </w:tc>
      </w:tr>
      <w:tr>
        <w:tc>
          <w:tcPr>
            <w:tcW w:type="dxa" w:w="1728"/>
          </w:tcPr>
          <w:p>
            <w:r>
              <w:t>Maintain safe accessible routes and facilities</w:t>
            </w:r>
          </w:p>
        </w:tc>
        <w:tc>
          <w:tcPr>
            <w:tcW w:type="dxa" w:w="3672"/>
          </w:tcPr>
          <w:p>
            <w:r>
              <w:t>Keep corridors, entrances and emergency exits clear. Check ramped access, wide-door routes, accessible toilet, handrail and emergency pull cord through routine premises checks.</w:t>
            </w:r>
          </w:p>
        </w:tc>
        <w:tc>
          <w:tcPr>
            <w:tcW w:type="dxa" w:w="1080"/>
          </w:tcPr>
          <w:p>
            <w:r>
              <w:t>HT / premises</w:t>
            </w:r>
          </w:p>
        </w:tc>
        <w:tc>
          <w:tcPr>
            <w:tcW w:type="dxa" w:w="1224"/>
          </w:tcPr>
          <w:p>
            <w:r>
              <w:t>Ongoing</w:t>
            </w:r>
          </w:p>
        </w:tc>
        <w:tc>
          <w:tcPr>
            <w:tcW w:type="dxa" w:w="2088"/>
          </w:tcPr>
          <w:p>
            <w:r>
              <w:t>Accessible routes and facilities remain safe, usable and unobstructed.</w:t>
            </w:r>
          </w:p>
        </w:tc>
        <w:tc>
          <w:tcPr>
            <w:tcW w:type="dxa" w:w="936"/>
          </w:tcPr>
          <w:p>
            <w:r>
              <w:t>Routine checks</w:t>
            </w:r>
          </w:p>
        </w:tc>
      </w:tr>
      <w:tr>
        <w:tc>
          <w:tcPr>
            <w:tcW w:type="dxa" w:w="1728"/>
          </w:tcPr>
          <w:p>
            <w:r>
              <w:t>Plan for safe evacuation</w:t>
            </w:r>
          </w:p>
        </w:tc>
        <w:tc>
          <w:tcPr>
            <w:tcW w:type="dxa" w:w="3672"/>
          </w:tcPr>
          <w:p>
            <w:r>
              <w:t>Consider individual evacuation needs and introduce/review PEEPs where required. Ensure relevant staff understand arrangements.</w:t>
            </w:r>
          </w:p>
        </w:tc>
        <w:tc>
          <w:tcPr>
            <w:tcW w:type="dxa" w:w="1080"/>
          </w:tcPr>
          <w:p>
            <w:r>
              <w:t>HT / SENDCo</w:t>
            </w:r>
          </w:p>
        </w:tc>
        <w:tc>
          <w:tcPr>
            <w:tcW w:type="dxa" w:w="1224"/>
          </w:tcPr>
          <w:p>
            <w:r>
              <w:t>As required</w:t>
            </w:r>
          </w:p>
        </w:tc>
        <w:tc>
          <w:tcPr>
            <w:tcW w:type="dxa" w:w="2088"/>
          </w:tcPr>
          <w:p>
            <w:r>
              <w:t>Any pupil or adult requiring assistance has a clear, workable evacuation arrangement.</w:t>
            </w:r>
          </w:p>
        </w:tc>
        <w:tc>
          <w:tcPr>
            <w:tcW w:type="dxa" w:w="936"/>
          </w:tcPr>
          <w:p>
            <w:r>
              <w:t>At least annual / change</w:t>
            </w:r>
          </w:p>
        </w:tc>
      </w:tr>
      <w:tr>
        <w:tc>
          <w:tcPr>
            <w:tcW w:type="dxa" w:w="1728"/>
          </w:tcPr>
          <w:p>
            <w:r>
              <w:t>Accessibility in premises and playground development</w:t>
            </w:r>
          </w:p>
        </w:tc>
        <w:tc>
          <w:tcPr>
            <w:tcW w:type="dxa" w:w="3672"/>
          </w:tcPr>
          <w:p>
            <w:r>
              <w:t>Include accessibility and inclusive design when planning classroom, playground, entrance, signage, furniture or other premises improvements. Seek specialist advice for significant adaptations.</w:t>
            </w:r>
          </w:p>
        </w:tc>
        <w:tc>
          <w:tcPr>
            <w:tcW w:type="dxa" w:w="1080"/>
          </w:tcPr>
          <w:p>
            <w:r>
              <w:t>HT / governors</w:t>
            </w:r>
          </w:p>
        </w:tc>
        <w:tc>
          <w:tcPr>
            <w:tcW w:type="dxa" w:w="1224"/>
          </w:tcPr>
          <w:p>
            <w:r>
              <w:t>2026–29</w:t>
            </w:r>
          </w:p>
        </w:tc>
        <w:tc>
          <w:tcPr>
            <w:tcW w:type="dxa" w:w="2088"/>
          </w:tcPr>
          <w:p>
            <w:r>
              <w:t>New improvements reduce rather than create barriers and consider physical, sensory and communication needs.</w:t>
            </w:r>
          </w:p>
        </w:tc>
        <w:tc>
          <w:tcPr>
            <w:tcW w:type="dxa" w:w="936"/>
          </w:tcPr>
          <w:p>
            <w:r>
              <w:t>Project review</w:t>
            </w:r>
          </w:p>
        </w:tc>
      </w:tr>
      <w:tr>
        <w:tc>
          <w:tcPr>
            <w:tcW w:type="dxa" w:w="1728"/>
          </w:tcPr>
          <w:p>
            <w:r>
              <w:t>Respond to sensory/physical needs</w:t>
            </w:r>
          </w:p>
        </w:tc>
        <w:tc>
          <w:tcPr>
            <w:tcW w:type="dxa" w:w="3672"/>
          </w:tcPr>
          <w:p>
            <w:r>
              <w:t>Review lighting, noise, seating, movement routes, calm spaces and classroom layout where individual need indicates an adjustment.</w:t>
            </w:r>
          </w:p>
        </w:tc>
        <w:tc>
          <w:tcPr>
            <w:tcW w:type="dxa" w:w="1080"/>
          </w:tcPr>
          <w:p>
            <w:r>
              <w:t>SENDCo / teachers</w:t>
            </w:r>
          </w:p>
        </w:tc>
        <w:tc>
          <w:tcPr>
            <w:tcW w:type="dxa" w:w="1224"/>
          </w:tcPr>
          <w:p>
            <w:r>
              <w:t>As required</w:t>
            </w:r>
          </w:p>
        </w:tc>
        <w:tc>
          <w:tcPr>
            <w:tcW w:type="dxa" w:w="2088"/>
          </w:tcPr>
          <w:p>
            <w:r>
              <w:t>Learning spaces are adjusted responsively and pupils can access them safely and comfortably.</w:t>
            </w:r>
          </w:p>
        </w:tc>
        <w:tc>
          <w:tcPr>
            <w:tcW w:type="dxa" w:w="936"/>
          </w:tcPr>
          <w:p>
            <w:r>
              <w:t>Ongoing</w:t>
            </w:r>
          </w:p>
        </w:tc>
      </w:tr>
    </w:tbl>
    <w:p/>
    <w:p>
      <w:pPr>
        <w:pStyle w:val="Heading2"/>
      </w:pPr>
      <w:r>
        <w:t>Strand 3 – Improving access to information</w:t>
      </w:r>
    </w:p>
    <w:tbl>
      <w:tblPr>
        <w:tblStyle w:val="TableGrid"/>
        <w:tblW w:type="auto" w:w="0"/>
        <w:jc w:val="center"/>
        <w:tblLook w:firstColumn="1" w:firstRow="1" w:lastColumn="0" w:lastRow="0" w:noHBand="0" w:noVBand="1" w:val="04A0"/>
      </w:tblPr>
      <w:tblGrid>
        <w:gridCol w:w="1728"/>
        <w:gridCol w:w="1728"/>
        <w:gridCol w:w="1728"/>
        <w:gridCol w:w="1728"/>
        <w:gridCol w:w="1728"/>
        <w:gridCol w:w="1728"/>
      </w:tblGrid>
      <w:tr>
        <w:tc>
          <w:tcPr>
            <w:tcW w:type="dxa" w:w="1728"/>
          </w:tcPr>
          <w:p>
            <w:r>
              <w:rPr>
                <w:b/>
              </w:rPr>
              <w:t>Priority / target</w:t>
            </w:r>
          </w:p>
        </w:tc>
        <w:tc>
          <w:tcPr>
            <w:tcW w:type="dxa" w:w="3672"/>
          </w:tcPr>
          <w:p>
            <w:r>
              <w:rPr>
                <w:b/>
              </w:rPr>
              <w:t>Actions at St Mary’s</w:t>
            </w:r>
          </w:p>
        </w:tc>
        <w:tc>
          <w:tcPr>
            <w:tcW w:type="dxa" w:w="1080"/>
          </w:tcPr>
          <w:p>
            <w:r>
              <w:rPr>
                <w:b/>
              </w:rPr>
              <w:t>Lead</w:t>
            </w:r>
          </w:p>
        </w:tc>
        <w:tc>
          <w:tcPr>
            <w:tcW w:type="dxa" w:w="1224"/>
          </w:tcPr>
          <w:p>
            <w:r>
              <w:rPr>
                <w:b/>
              </w:rPr>
              <w:t>Timescale</w:t>
            </w:r>
          </w:p>
        </w:tc>
        <w:tc>
          <w:tcPr>
            <w:tcW w:type="dxa" w:w="2088"/>
          </w:tcPr>
          <w:p>
            <w:r>
              <w:rPr>
                <w:b/>
              </w:rPr>
              <w:t>Success / evidence</w:t>
            </w:r>
          </w:p>
        </w:tc>
        <w:tc>
          <w:tcPr>
            <w:tcW w:type="dxa" w:w="936"/>
          </w:tcPr>
          <w:p>
            <w:r>
              <w:rPr>
                <w:b/>
              </w:rPr>
              <w:t>Review</w:t>
            </w:r>
          </w:p>
        </w:tc>
      </w:tr>
      <w:tr>
        <w:tc>
          <w:tcPr>
            <w:tcW w:type="dxa" w:w="1728"/>
          </w:tcPr>
          <w:p>
            <w:r>
              <w:t>Accessible pupil information</w:t>
            </w:r>
          </w:p>
        </w:tc>
        <w:tc>
          <w:tcPr>
            <w:tcW w:type="dxa" w:w="3672"/>
          </w:tcPr>
          <w:p>
            <w:r>
              <w:t>Provide learning information in alternative formats where required, including visual supports, enlarged/clear print, symbols, simplified layouts, technology or other specialist formats.</w:t>
            </w:r>
          </w:p>
        </w:tc>
        <w:tc>
          <w:tcPr>
            <w:tcW w:type="dxa" w:w="1080"/>
          </w:tcPr>
          <w:p>
            <w:r>
              <w:t>Teachers / SENDCo</w:t>
            </w:r>
          </w:p>
        </w:tc>
        <w:tc>
          <w:tcPr>
            <w:tcW w:type="dxa" w:w="1224"/>
          </w:tcPr>
          <w:p>
            <w:r>
              <w:t>As required</w:t>
            </w:r>
          </w:p>
        </w:tc>
        <w:tc>
          <w:tcPr>
            <w:tcW w:type="dxa" w:w="2088"/>
          </w:tcPr>
          <w:p>
            <w:r>
              <w:t>Pupils receive information in a form they can access and use.</w:t>
            </w:r>
          </w:p>
        </w:tc>
        <w:tc>
          <w:tcPr>
            <w:tcW w:type="dxa" w:w="936"/>
          </w:tcPr>
          <w:p>
            <w:r>
              <w:t>Ongoing</w:t>
            </w:r>
          </w:p>
        </w:tc>
      </w:tr>
      <w:tr>
        <w:tc>
          <w:tcPr>
            <w:tcW w:type="dxa" w:w="1728"/>
          </w:tcPr>
          <w:p>
            <w:r>
              <w:t>Accessible communication with families</w:t>
            </w:r>
          </w:p>
        </w:tc>
        <w:tc>
          <w:tcPr>
            <w:tcW w:type="dxa" w:w="3672"/>
          </w:tcPr>
          <w:p>
            <w:r>
              <w:t>Invite parents/carers to tell school about communication or access needs. Provide reasonable alternative formats or methods for key school information and meetings where needed.</w:t>
            </w:r>
          </w:p>
        </w:tc>
        <w:tc>
          <w:tcPr>
            <w:tcW w:type="dxa" w:w="1080"/>
          </w:tcPr>
          <w:p>
            <w:r>
              <w:t>HT / office / SENDCo</w:t>
            </w:r>
          </w:p>
        </w:tc>
        <w:tc>
          <w:tcPr>
            <w:tcW w:type="dxa" w:w="1224"/>
          </w:tcPr>
          <w:p>
            <w:r>
              <w:t>Ongoing</w:t>
            </w:r>
          </w:p>
        </w:tc>
        <w:tc>
          <w:tcPr>
            <w:tcW w:type="dxa" w:w="2088"/>
          </w:tcPr>
          <w:p>
            <w:r>
              <w:t>Families can access key information and participate in school communication.</w:t>
            </w:r>
          </w:p>
        </w:tc>
        <w:tc>
          <w:tcPr>
            <w:tcW w:type="dxa" w:w="936"/>
          </w:tcPr>
          <w:p>
            <w:r>
              <w:t>Annual check</w:t>
            </w:r>
          </w:p>
        </w:tc>
      </w:tr>
      <w:tr>
        <w:tc>
          <w:tcPr>
            <w:tcW w:type="dxa" w:w="1728"/>
          </w:tcPr>
          <w:p>
            <w:r>
              <w:t>Website and statutory information</w:t>
            </w:r>
          </w:p>
        </w:tc>
        <w:tc>
          <w:tcPr>
            <w:tcW w:type="dxa" w:w="3672"/>
          </w:tcPr>
          <w:p>
            <w:r>
              <w:t>Publish this Accessibility Plan and maintain clear SEND information online; review key documents for readability and accessibility when updated.</w:t>
            </w:r>
          </w:p>
        </w:tc>
        <w:tc>
          <w:tcPr>
            <w:tcW w:type="dxa" w:w="1080"/>
          </w:tcPr>
          <w:p>
            <w:r>
              <w:t>HT / SENDCo</w:t>
            </w:r>
          </w:p>
        </w:tc>
        <w:tc>
          <w:tcPr>
            <w:tcW w:type="dxa" w:w="1224"/>
          </w:tcPr>
          <w:p>
            <w:r>
              <w:t>Annual</w:t>
            </w:r>
          </w:p>
        </w:tc>
        <w:tc>
          <w:tcPr>
            <w:tcW w:type="dxa" w:w="2088"/>
          </w:tcPr>
          <w:p>
            <w:r>
              <w:t>Current accessibility and SEND information is easy for families to locate and understand.</w:t>
            </w:r>
          </w:p>
        </w:tc>
        <w:tc>
          <w:tcPr>
            <w:tcW w:type="dxa" w:w="936"/>
          </w:tcPr>
          <w:p>
            <w:r>
              <w:t>Annual</w:t>
            </w:r>
          </w:p>
        </w:tc>
      </w:tr>
      <w:tr>
        <w:tc>
          <w:tcPr>
            <w:tcW w:type="dxa" w:w="1728"/>
          </w:tcPr>
          <w:p>
            <w:r>
              <w:t>Staff awareness</w:t>
            </w:r>
          </w:p>
        </w:tc>
        <w:tc>
          <w:tcPr>
            <w:tcW w:type="dxa" w:w="3672"/>
          </w:tcPr>
          <w:p>
            <w:r>
              <w:t>Ensure relevant information about individual communication/access needs and agreed reasonable adjustments is shared appropriately with staff, including temporary staff and adults leading activities.</w:t>
            </w:r>
          </w:p>
        </w:tc>
        <w:tc>
          <w:tcPr>
            <w:tcW w:type="dxa" w:w="1080"/>
          </w:tcPr>
          <w:p>
            <w:r>
              <w:t>SENDCo / HT</w:t>
            </w:r>
          </w:p>
        </w:tc>
        <w:tc>
          <w:tcPr>
            <w:tcW w:type="dxa" w:w="1224"/>
          </w:tcPr>
          <w:p>
            <w:r>
              <w:t>Ongoing</w:t>
            </w:r>
          </w:p>
        </w:tc>
        <w:tc>
          <w:tcPr>
            <w:tcW w:type="dxa" w:w="2088"/>
          </w:tcPr>
          <w:p>
            <w:r>
              <w:t>Adults understand and implement agreed adjustments consistently.</w:t>
            </w:r>
          </w:p>
        </w:tc>
        <w:tc>
          <w:tcPr>
            <w:tcW w:type="dxa" w:w="936"/>
          </w:tcPr>
          <w:p>
            <w:r>
              <w:t>Induction / change</w:t>
            </w:r>
          </w:p>
        </w:tc>
      </w:tr>
    </w:tbl>
    <w:p/>
    <w:p>
      <w:pPr>
        <w:pStyle w:val="Heading1"/>
      </w:pPr>
      <w:r>
        <w:t>10. Linked school policies and documents</w:t>
      </w:r>
    </w:p>
    <w:p>
      <w:pPr>
        <w:pStyle w:val="ListBullet"/>
      </w:pPr>
      <w:r>
        <w:t>SEND Policy and SEND Information Report</w:t>
      </w:r>
    </w:p>
    <w:p>
      <w:pPr>
        <w:pStyle w:val="ListBullet"/>
      </w:pPr>
      <w:r>
        <w:t>Relationships and Behaviour Policy</w:t>
      </w:r>
    </w:p>
    <w:p>
      <w:pPr>
        <w:pStyle w:val="ListBullet"/>
      </w:pPr>
      <w:r>
        <w:t>Equality Information and Objectives</w:t>
      </w:r>
    </w:p>
    <w:p>
      <w:pPr>
        <w:pStyle w:val="ListBullet"/>
      </w:pPr>
      <w:r>
        <w:t>Supporting Pupils with Medical Conditions Policy</w:t>
      </w:r>
    </w:p>
    <w:p>
      <w:pPr>
        <w:pStyle w:val="ListBullet"/>
      </w:pPr>
      <w:r>
        <w:t>Allergy Safety Policy</w:t>
      </w:r>
    </w:p>
    <w:p>
      <w:pPr>
        <w:pStyle w:val="ListBullet"/>
      </w:pPr>
      <w:r>
        <w:t>Safeguarding and Child Protection Policy</w:t>
      </w:r>
    </w:p>
    <w:p>
      <w:pPr>
        <w:pStyle w:val="ListBullet"/>
      </w:pPr>
      <w:r>
        <w:t>Health and Safety Policy</w:t>
      </w:r>
    </w:p>
    <w:p>
      <w:pPr>
        <w:pStyle w:val="ListBullet"/>
      </w:pPr>
      <w:r>
        <w:t>Educational Visits procedures and risk assessments</w:t>
      </w:r>
    </w:p>
    <w:p>
      <w:pPr>
        <w:pStyle w:val="ListBullet"/>
      </w:pPr>
      <w:r>
        <w:t>Curriculum and teaching &amp; learning / Great Teaching guidance</w:t>
      </w:r>
    </w:p>
    <w:p>
      <w:pPr>
        <w:pStyle w:val="ListBullet"/>
      </w:pPr>
      <w:r>
        <w:t>Individual SEND support plans, EHCPs, IHPs, risk assessments and PEEPs where applicable</w:t>
      </w:r>
    </w:p>
    <w:p>
      <w:pPr>
        <w:pStyle w:val="Heading1"/>
      </w:pPr>
      <w:r>
        <w:t>11. Key external guidance</w:t>
      </w:r>
    </w:p>
    <w:p>
      <w:pPr>
        <w:pStyle w:val="ListBullet"/>
      </w:pPr>
      <w:r>
        <w:t>Equality Act 2010, including Schedule 10 – Accessibility for disabled pupils</w:t>
      </w:r>
    </w:p>
    <w:p>
      <w:pPr>
        <w:pStyle w:val="ListBullet"/>
      </w:pPr>
      <w:r>
        <w:t>SEND Code of Practice: 0 to 25 years</w:t>
      </w:r>
    </w:p>
    <w:p>
      <w:pPr>
        <w:pStyle w:val="ListBullet"/>
      </w:pPr>
      <w:r>
        <w:t>Department for Education guidance on what maintained schools must publish online</w:t>
      </w:r>
    </w:p>
    <w:p>
      <w:pPr>
        <w:pStyle w:val="ListBullet"/>
      </w:pPr>
      <w:r>
        <w:t>Department for Education: Inclusive education estates (2026)</w:t>
      </w:r>
    </w:p>
    <w:p>
      <w:pPr>
        <w:pStyle w:val="Heading1"/>
      </w:pPr>
      <w:r>
        <w:t>Document approval</w:t>
      </w:r>
    </w:p>
    <w:tbl>
      <w:tblPr>
        <w:tblStyle w:val="TableGrid"/>
        <w:tblW w:type="auto" w:w="0"/>
        <w:tblLook w:firstColumn="1" w:firstRow="1" w:lastColumn="0" w:lastRow="0" w:noHBand="0" w:noVBand="1" w:val="04A0"/>
      </w:tblPr>
      <w:tblGrid>
        <w:gridCol w:w="5184"/>
        <w:gridCol w:w="5184"/>
      </w:tblGrid>
      <w:tr>
        <w:tc>
          <w:tcPr>
            <w:tcW w:type="dxa" w:w="5184"/>
          </w:tcPr>
          <w:p>
            <w:r>
              <w:rPr>
                <w:b/>
              </w:rPr>
              <w:t>Approved by</w:t>
            </w:r>
          </w:p>
        </w:tc>
        <w:tc>
          <w:tcPr>
            <w:tcW w:type="dxa" w:w="5184"/>
          </w:tcPr>
          <w:p>
            <w:r>
              <w:t>Governing Body</w:t>
            </w:r>
          </w:p>
        </w:tc>
      </w:tr>
      <w:tr>
        <w:tc>
          <w:tcPr>
            <w:tcW w:type="dxa" w:w="5184"/>
          </w:tcPr>
          <w:p>
            <w:r>
              <w:rPr>
                <w:b/>
              </w:rPr>
              <w:t>Signature</w:t>
            </w:r>
          </w:p>
        </w:tc>
        <w:tc>
          <w:tcPr>
            <w:tcW w:type="dxa" w:w="5184"/>
          </w:tcPr>
          <w:p>
            <w:r/>
          </w:p>
        </w:tc>
      </w:tr>
      <w:tr>
        <w:tc>
          <w:tcPr>
            <w:tcW w:type="dxa" w:w="5184"/>
          </w:tcPr>
          <w:p>
            <w:r>
              <w:rPr>
                <w:b/>
              </w:rPr>
              <w:t>Date</w:t>
            </w:r>
          </w:p>
        </w:tc>
        <w:tc>
          <w:tcPr>
            <w:tcW w:type="dxa" w:w="5184"/>
          </w:tcPr>
          <w:p>
            <w:r/>
          </w:p>
        </w:tc>
      </w:tr>
      <w:tr>
        <w:tc>
          <w:tcPr>
            <w:tcW w:type="dxa" w:w="5184"/>
          </w:tcPr>
          <w:p>
            <w:r>
              <w:rPr>
                <w:b/>
              </w:rPr>
              <w:t>Next full plan</w:t>
            </w:r>
          </w:p>
        </w:tc>
        <w:tc>
          <w:tcPr>
            <w:tcW w:type="dxa" w:w="5184"/>
          </w:tcPr>
          <w:p>
            <w:r>
              <w:t>2029 (with annual monitoring and revision as required)</w:t>
            </w:r>
          </w:p>
        </w:tc>
      </w:tr>
    </w:tbl>
    <w:sectPr w:rsidR="00FC693F" w:rsidRPr="0006063C" w:rsidSect="00034616">
      <w:headerReference w:type="default" r:id="rId9"/>
      <w:footerReference w:type="default" r:id="rId10"/>
      <w:pgSz w:w="12240" w:h="15840"/>
      <w:pgMar w:top="792" w:right="936" w:bottom="792" w:left="93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5A5A5A"/>
        <w:sz w:val="16"/>
      </w:rPr>
      <w:t>Rooted in Love • Faith in Action • Learning to Thrive    |    Accessibility Plan 2026–2029</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r>
      <w:rPr>
        <w:b/>
        <w:color w:val="1F3864"/>
        <w:sz w:val="16"/>
      </w:rPr>
      <w:t>ST MARY’S R.C. PRIMARY SCHOOL, CHIPPING  |  ACCESSIBILITY PLAN 2026–2029</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1F3864"/>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1F3864"/>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b/>
      <w:color w:val="1F3864"/>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