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D6A84B"/>
          <w:sz w:val="17"/>
        </w:rPr>
        <w:t>ST MARY’S RC PRIMARY SCHOOL</w:t>
      </w:r>
    </w:p>
    <w:p>
      <w:pPr>
        <w:pStyle w:val="Title"/>
        <w:spacing w:after="100"/>
      </w:pPr>
      <w:r>
        <w:t>History Progression</w:t>
      </w:r>
    </w:p>
    <w:p>
      <w:pPr>
        <w:spacing w:after="200"/>
      </w:pPr>
      <w:r>
        <w:rPr>
          <w:i/>
          <w:color w:val="687386"/>
          <w:sz w:val="22"/>
        </w:rPr>
        <w:t>Substantive and disciplinary knowledge • Years 1–6 • Interim curriculum 2026–27</w:t>
      </w:r>
    </w:p>
    <w:p/>
    <w:tbl>
      <w:tblPr>
        <w:tblStyle w:val="TableGrid"/>
        <w:tblW w:type="auto" w:w="0"/>
        <w:jc w:val="center"/>
        <w:tblLook w:firstColumn="1" w:firstRow="1" w:lastColumn="0" w:lastRow="0" w:noHBand="0" w:noVBand="1" w:val="04A0"/>
      </w:tblPr>
      <w:tblGrid>
        <w:gridCol w:w="3413"/>
        <w:gridCol w:w="3413"/>
        <w:gridCol w:w="3413"/>
      </w:tblGrid>
      <w:tr>
        <w:trPr>
          <w:cantSplit/>
        </w:trPr>
        <w:tc>
          <w:tcPr>
            <w:tcW w:type="dxa" w:w="3240"/>
            <w:vAlign w:val="center"/>
            <w:tcMar>
              <w:top w:w="70" w:type="dxa"/>
              <w:start w:w="80" w:type="dxa"/>
              <w:bottom w:w="70" w:type="dxa"/>
              <w:end w:w="80" w:type="dxa"/>
            </w:tcMar>
            <w:shd w:fill="2B7A78"/>
          </w:tcPr>
          <w:p>
            <w:pPr>
              <w:spacing w:after="0" w:line="240" w:lineRule="auto"/>
              <w:jc w:val="center"/>
            </w:pPr>
            <w:r/>
            <w:r>
              <w:rPr>
                <w:rFonts w:ascii="Aptos" w:hAnsi="Aptos"/>
                <w:b/>
                <w:color w:val="FFFFFF"/>
                <w:sz w:val="22"/>
              </w:rPr>
              <w:t>SUBSTANTIVE</w:t>
              <w:br/>
              <w:t>Know the past</w:t>
            </w:r>
          </w:p>
        </w:tc>
        <w:tc>
          <w:tcPr>
            <w:tcW w:type="dxa" w:w="3240"/>
            <w:vAlign w:val="center"/>
            <w:tcMar>
              <w:top w:w="70" w:type="dxa"/>
              <w:start w:w="80" w:type="dxa"/>
              <w:bottom w:w="70" w:type="dxa"/>
              <w:end w:w="80" w:type="dxa"/>
            </w:tcMar>
            <w:shd w:fill="7A1F3D"/>
          </w:tcPr>
          <w:p>
            <w:pPr>
              <w:spacing w:after="0" w:line="240" w:lineRule="auto"/>
              <w:jc w:val="center"/>
            </w:pPr>
            <w:r/>
            <w:r>
              <w:rPr>
                <w:rFonts w:ascii="Aptos" w:hAnsi="Aptos"/>
                <w:b/>
                <w:color w:val="FFFFFF"/>
                <w:sz w:val="22"/>
              </w:rPr>
              <w:t>DISCIPLINARY</w:t>
              <w:br/>
              <w:t>Think like an historian</w:t>
            </w:r>
          </w:p>
        </w:tc>
        <w:tc>
          <w:tcPr>
            <w:tcW w:type="dxa" w:w="3240"/>
            <w:vAlign w:val="center"/>
            <w:tcMar>
              <w:top w:w="70" w:type="dxa"/>
              <w:start w:w="80" w:type="dxa"/>
              <w:bottom w:w="70" w:type="dxa"/>
              <w:end w:w="80" w:type="dxa"/>
            </w:tcMar>
            <w:shd w:fill="3C78A8"/>
          </w:tcPr>
          <w:p>
            <w:pPr>
              <w:spacing w:after="0" w:line="240" w:lineRule="auto"/>
              <w:jc w:val="center"/>
            </w:pPr>
            <w:r/>
            <w:r>
              <w:rPr>
                <w:rFonts w:ascii="Aptos" w:hAnsi="Aptos"/>
                <w:b/>
                <w:color w:val="FFFFFF"/>
                <w:sz w:val="22"/>
              </w:rPr>
              <w:t>APPLICATION</w:t>
              <w:br/>
              <w:t>Explain with evidence</w:t>
            </w:r>
          </w:p>
        </w:tc>
      </w:tr>
    </w:tbl>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Our curriculum promise  </w:t>
            </w:r>
            <w:r>
              <w:rPr>
                <w:color w:val="263238"/>
                <w:sz w:val="18"/>
              </w:rPr>
              <w:t>Rooted in love, inspired by faith in action and designed to help every child learn to thrive. History develops secure knowledge of the past, curiosity, careful judgement, respect for human dignity and a responsible understanding of our local community and wider world.</w:t>
            </w:r>
          </w:p>
        </w:tc>
      </w:tr>
    </w:tbl>
    <w:p>
      <w:pPr>
        <w:spacing w:after="0" w:lineRule="exact" w:line="40"/>
      </w:pPr>
    </w:p>
    <w:p/>
    <w:p>
      <w:pPr>
        <w:jc w:val="center"/>
      </w:pPr>
      <w:r>
        <w:rPr>
          <w:b/>
          <w:color w:val="17365D"/>
          <w:sz w:val="22"/>
        </w:rPr>
        <w:t>BELONGING  •  INDEPENDENCE &amp; CURIOSITY  •  RESPONSIBILITY</w:t>
      </w:r>
    </w:p>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23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Status</w:t>
            </w:r>
          </w:p>
        </w:tc>
        <w:tc>
          <w:tcPr>
            <w:tcW w:type="dxa" w:w="547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Scope</w:t>
            </w:r>
          </w:p>
        </w:tc>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Review point</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Interim working document</w:t>
            </w:r>
          </w:p>
        </w:tc>
        <w:tc>
          <w:tcPr>
            <w:tcW w:type="dxa" w:w="5472"/>
            <w:vAlign w:val="center"/>
            <w:tcMar>
              <w:top w:w="70" w:type="dxa"/>
              <w:start w:w="80" w:type="dxa"/>
              <w:bottom w:w="70" w:type="dxa"/>
              <w:end w:w="80" w:type="dxa"/>
            </w:tcMar>
          </w:tcPr>
          <w:p>
            <w:pPr>
              <w:spacing w:after="0" w:line="240" w:lineRule="auto"/>
            </w:pPr>
            <w:r/>
            <w:r>
              <w:rPr>
                <w:rFonts w:ascii="Aptos" w:hAnsi="Aptos"/>
                <w:b w:val="0"/>
                <w:color w:val="263238"/>
                <w:sz w:val="16"/>
              </w:rPr>
              <w:t>Year 1 to Year 6 only; EYFS intentionally omitted pending the Reception overview</w:t>
            </w:r>
          </w:p>
        </w:tc>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Review when the revised national curriculum is published (expected spring 2027)</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A33B3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BEAEA"/>
            <w:tcMar>
              <w:top w:w="90" w:type="dxa"/>
              <w:start w:w="110" w:type="dxa"/>
              <w:bottom w:w="90" w:type="dxa"/>
              <w:end w:w="110" w:type="dxa"/>
            </w:tcMar>
            <w:vAlign w:val="center"/>
          </w:tcPr>
          <w:p>
            <w:pPr>
              <w:spacing w:after="20"/>
            </w:pPr>
            <w:r/>
            <w:r>
              <w:rPr>
                <w:b/>
                <w:color w:val="A33B3B"/>
                <w:sz w:val="18"/>
              </w:rPr>
              <w:t xml:space="preserve">Important  </w:t>
            </w:r>
            <w:r>
              <w:rPr>
                <w:color w:val="263238"/>
                <w:sz w:val="18"/>
              </w:rPr>
              <w:t>This document expresses progression for St Mary’s actual mixed-age organisation: Years 1/2/3 and Years 4/5/6. Where the source overview used legacy Y1/2, Y3/4 and Y5/6 labels, the history content has been realigned here without inventing additional topics.</w:t>
            </w:r>
          </w:p>
        </w:tc>
      </w:tr>
    </w:tbl>
    <w:p>
      <w:pPr>
        <w:spacing w:after="0" w:lineRule="exact" w:line="40"/>
      </w:pPr>
    </w:p>
    <w:p>
      <w:r>
        <w:br w:type="page"/>
      </w:r>
    </w:p>
    <w:p>
      <w:pPr>
        <w:spacing w:after="60"/>
      </w:pPr>
      <w:r>
        <w:rPr>
          <w:rFonts w:ascii="Aptos" w:hAnsi="Aptos"/>
          <w:b/>
          <w:color w:val="D6A84B"/>
          <w:sz w:val="17"/>
        </w:rPr>
        <w:t>1 • RATIONALE</w:t>
      </w:r>
    </w:p>
    <w:p>
      <w:pPr>
        <w:pStyle w:val="Title"/>
        <w:spacing w:after="100"/>
      </w:pPr>
      <w:r>
        <w:t>Purpose, scope and design principles</w:t>
      </w:r>
    </w:p>
    <w:p>
      <w:pPr>
        <w:pStyle w:val="Heading2"/>
      </w:pPr>
      <w:r>
        <w:t>Why this document exists</w:t>
      </w:r>
    </w:p>
    <w:p>
      <w:r>
        <w:t>This progression turns the school’s one-year 2026–27 overview into a teachable, assessable History curriculum. It shows what pupils should know, how their historical thinking becomes more sophisticated from Year 1 to Year 6, and where each unit contributes to the current National Curriculum.</w:t>
      </w:r>
    </w:p>
    <w:p>
      <w:pPr>
        <w:pStyle w:val="Heading2"/>
      </w:pPr>
      <w:r>
        <w:t>Our intent for History</w:t>
      </w:r>
    </w:p>
    <w:p>
      <w:pPr>
        <w:pStyle w:val="ListBullet"/>
        <w:spacing w:after="40"/>
        <w:ind w:left="317" w:hanging="187"/>
      </w:pPr>
      <w:r>
        <w:t>Build a coherent sense of chronology and a secure body of knowledge about people, events, places and developments.</w:t>
      </w:r>
    </w:p>
    <w:p>
      <w:pPr>
        <w:pStyle w:val="ListBullet"/>
        <w:spacing w:after="40"/>
        <w:ind w:left="317" w:hanging="187"/>
      </w:pPr>
      <w:r>
        <w:t>Begin with children’s experience of home and community, then widen their perspective to national and global connections.</w:t>
      </w:r>
    </w:p>
    <w:p>
      <w:pPr>
        <w:pStyle w:val="ListBullet"/>
        <w:spacing w:after="40"/>
        <w:ind w:left="317" w:hanging="187"/>
      </w:pPr>
      <w:r>
        <w:t>Teach pupils to ask worthwhile questions, examine evidence, recognise uncertainty and communicate supported conclusions.</w:t>
      </w:r>
    </w:p>
    <w:p>
      <w:pPr>
        <w:pStyle w:val="ListBullet"/>
        <w:spacing w:after="40"/>
        <w:ind w:left="317" w:hanging="187"/>
      </w:pPr>
      <w:r>
        <w:t>Make local history meaningful through Chipping, while connecting local stories to larger histories of belief, conflict, trade, technology and social change.</w:t>
      </w:r>
    </w:p>
    <w:p>
      <w:pPr>
        <w:pStyle w:val="ListBullet"/>
        <w:spacing w:after="40"/>
        <w:ind w:left="317" w:hanging="187"/>
      </w:pPr>
      <w:r>
        <w:t>Ensure that diverse voices are present as part of the curriculum’s substance, not as an occasional add-on.</w:t>
      </w:r>
    </w:p>
    <w:p>
      <w:pPr>
        <w:pStyle w:val="ListBullet"/>
        <w:spacing w:after="40"/>
        <w:ind w:left="317" w:hanging="187"/>
      </w:pPr>
      <w:r>
        <w:t>Develop careful, compassionate and responsible citizens who recognise both human achievement and the consequences of past choices.</w:t>
      </w:r>
    </w:p>
    <w:p>
      <w:pPr>
        <w:pStyle w:val="Heading2"/>
      </w:pPr>
      <w:r>
        <w:t>Implementation in mixed-age classes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168"/>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Shared class enquiry</w:t>
            </w:r>
          </w:p>
        </w:tc>
        <w:tc>
          <w:tcPr>
            <w:tcW w:type="dxa" w:w="338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Different year-group demand</w:t>
            </w:r>
          </w:p>
        </w:tc>
        <w:tc>
          <w:tcPr>
            <w:tcW w:type="dxa" w:w="338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Responsive teaching</w:t>
            </w:r>
          </w:p>
        </w:tc>
      </w:tr>
      <w:tr>
        <w:trPr>
          <w:cantSplit/>
        </w:trPr>
        <w:tc>
          <w:tcPr>
            <w:tcW w:type="dxa" w:w="3168"/>
            <w:vAlign w:val="center"/>
            <w:tcMar>
              <w:top w:w="70" w:type="dxa"/>
              <w:start w:w="80" w:type="dxa"/>
              <w:bottom w:w="70" w:type="dxa"/>
              <w:end w:w="80" w:type="dxa"/>
            </w:tcMar>
          </w:tcPr>
          <w:p>
            <w:pPr>
              <w:spacing w:after="0" w:line="240" w:lineRule="auto"/>
            </w:pPr>
            <w:r/>
            <w:r>
              <w:rPr>
                <w:rFonts w:ascii="Aptos" w:hAnsi="Aptos"/>
                <w:b w:val="0"/>
                <w:color w:val="263238"/>
                <w:sz w:val="16"/>
              </w:rPr>
              <w:t>All pupils encounter the same central question, narrative and selected evidence.</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Content, vocabulary, source work, independence and the quality of explanation increase by year.</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Teachers revisit essential prior knowledge, model thinking, use scaffolds where needed and deepen rather than accelerate.</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Interim status  </w:t>
            </w:r>
            <w:r>
              <w:rPr>
                <w:color w:val="263238"/>
                <w:sz w:val="18"/>
              </w:rPr>
              <w:t>The current statutory History programme remains in force during 2026–27. Government intends to publish the revised national curriculum in spring 2027 for first teaching from September 2028. This document should therefore be reviewed, not automatically rolled forward as a complete three-year cycle.</w:t>
            </w:r>
          </w:p>
        </w:tc>
      </w:tr>
    </w:tbl>
    <w:p>
      <w:pPr>
        <w:spacing w:after="0" w:lineRule="exact" w:line="40"/>
      </w:pPr>
    </w:p>
    <w:p>
      <w:r>
        <w:br w:type="page"/>
      </w:r>
    </w:p>
    <w:p>
      <w:pPr>
        <w:spacing w:after="60"/>
      </w:pPr>
      <w:r>
        <w:rPr>
          <w:rFonts w:ascii="Aptos" w:hAnsi="Aptos"/>
          <w:b/>
          <w:color w:val="D6A84B"/>
          <w:sz w:val="17"/>
        </w:rPr>
        <w:t>2 • KNOWLEDGE MODEL</w:t>
      </w:r>
    </w:p>
    <w:p>
      <w:pPr>
        <w:pStyle w:val="Title"/>
        <w:spacing w:after="100"/>
      </w:pPr>
      <w:r>
        <w:t>Substantive and disciplinary knowledge</w:t>
      </w:r>
    </w:p>
    <w:p>
      <w:pPr>
        <w:pStyle w:val="Heading2"/>
      </w:pPr>
      <w:r>
        <w:t>Substantive knowledge</w:t>
      </w:r>
    </w:p>
    <w:p>
      <w:r>
        <w:t>Substantive knowledge is the content pupils learn about the past: people, events, places, periods, dates, developments and recurring concepts. At St Mary’s it includes the narrative of the Gunpowder Plot, changes to toys, Chipping’s changing landscape, childhood during the Second World War, trade and a chosen person who brought about change.</w:t>
      </w:r>
    </w:p>
    <w:p>
      <w:pPr>
        <w:pStyle w:val="Heading2"/>
      </w:pPr>
      <w:r>
        <w:t>Disciplinary knowledge</w:t>
      </w:r>
    </w:p>
    <w:p>
      <w:r>
        <w:t>Disciplinary knowledge is knowledge of how history is constructed and communicated. Pupils learn how historians use sources as evidence, establish chronology, explain causes and consequences, identify change and continuity, compare experiences, judge significance and understand why interpretations can differ.</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24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Substantive: know that…</w:t>
            </w:r>
          </w:p>
        </w:tc>
        <w:tc>
          <w:tcPr>
            <w:tcW w:type="dxa" w:w="403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Disciplinary: know how to…</w:t>
            </w:r>
          </w:p>
        </w:tc>
        <w:tc>
          <w:tcPr>
            <w:tcW w:type="dxa" w:w="266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Result</w:t>
            </w:r>
          </w:p>
        </w:tc>
      </w:tr>
      <w:tr>
        <w:trPr>
          <w:cantSplit/>
        </w:trPr>
        <w:tc>
          <w:tcPr>
            <w:tcW w:type="dxa" w:w="3240"/>
            <w:vAlign w:val="center"/>
            <w:tcMar>
              <w:top w:w="70" w:type="dxa"/>
              <w:start w:w="80" w:type="dxa"/>
              <w:bottom w:w="70" w:type="dxa"/>
              <w:end w:w="80" w:type="dxa"/>
            </w:tcMar>
          </w:tcPr>
          <w:p>
            <w:pPr>
              <w:spacing w:after="0" w:line="240" w:lineRule="auto"/>
            </w:pPr>
            <w:r/>
            <w:r>
              <w:rPr>
                <w:rFonts w:ascii="Aptos" w:hAnsi="Aptos"/>
                <w:b w:val="0"/>
                <w:color w:val="263238"/>
                <w:sz w:val="16"/>
              </w:rPr>
              <w:t>Children were evacuated from many British cities during the Second World War.</w:t>
            </w:r>
          </w:p>
        </w:tc>
        <w:tc>
          <w:tcPr>
            <w:tcW w:type="dxa" w:w="4032"/>
            <w:vAlign w:val="center"/>
            <w:tcMar>
              <w:top w:w="70" w:type="dxa"/>
              <w:start w:w="80" w:type="dxa"/>
              <w:bottom w:w="70" w:type="dxa"/>
              <w:end w:w="80" w:type="dxa"/>
            </w:tcMar>
          </w:tcPr>
          <w:p>
            <w:pPr>
              <w:spacing w:after="0" w:line="240" w:lineRule="auto"/>
            </w:pPr>
            <w:r/>
            <w:r>
              <w:rPr>
                <w:rFonts w:ascii="Aptos" w:hAnsi="Aptos"/>
                <w:b w:val="0"/>
                <w:color w:val="263238"/>
                <w:sz w:val="16"/>
              </w:rPr>
              <w:t>Compare a label, photograph, oral testimony and official poster; consider origin, purpose and limitation.</w:t>
            </w:r>
          </w:p>
        </w:tc>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6"/>
              </w:rPr>
              <w:t>Reach a supported answer to: How did war change childhood?</w:t>
            </w:r>
          </w:p>
        </w:tc>
      </w:tr>
      <w:tr>
        <w:trPr>
          <w:cantSplit/>
        </w:trPr>
        <w:tc>
          <w:tcPr>
            <w:tcW w:type="dxa" w:w="324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Chipping’s buildings, roads and land use have changed over time.</w:t>
            </w:r>
          </w:p>
        </w:tc>
        <w:tc>
          <w:tcPr>
            <w:tcW w:type="dxa" w:w="40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Sequence maps and photographs, infer change, identify continuity and explain the limits of the evidence.</w:t>
            </w:r>
          </w:p>
        </w:tc>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which changes mattered most and why.</w:t>
            </w:r>
          </w:p>
        </w:tc>
      </w:tr>
    </w:tbl>
    <w:p>
      <w:pPr>
        <w:spacing w:after="0" w:lineRule="exact" w:line="40"/>
      </w:pPr>
    </w:p>
    <w:p>
      <w:pPr>
        <w:pStyle w:val="Heading2"/>
      </w:pPr>
      <w:r>
        <w:t>The disciplinary lenses used throughout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6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Lens</w:t>
            </w:r>
          </w:p>
        </w:tc>
        <w:tc>
          <w:tcPr>
            <w:tcW w:type="dxa" w:w="74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Pupil question</w:t>
            </w:r>
          </w:p>
        </w:tc>
      </w:tr>
      <w:tr>
        <w:trPr>
          <w:cantSplit/>
        </w:trPr>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6"/>
              </w:rPr>
              <w:t>Chronology</w:t>
            </w:r>
          </w:p>
        </w:tc>
        <w:tc>
          <w:tcPr>
            <w:tcW w:type="dxa" w:w="7416"/>
            <w:vAlign w:val="center"/>
            <w:tcMar>
              <w:top w:w="70" w:type="dxa"/>
              <w:start w:w="80" w:type="dxa"/>
              <w:bottom w:w="70" w:type="dxa"/>
              <w:end w:w="80" w:type="dxa"/>
            </w:tcMar>
          </w:tcPr>
          <w:p>
            <w:pPr>
              <w:spacing w:after="0" w:line="240" w:lineRule="auto"/>
            </w:pPr>
            <w:r/>
            <w:r>
              <w:rPr>
                <w:rFonts w:ascii="Aptos" w:hAnsi="Aptos"/>
                <w:b w:val="0"/>
                <w:color w:val="263238"/>
                <w:sz w:val="16"/>
              </w:rPr>
              <w:t>When did this happen, for how long, and what came before or after?</w:t>
            </w:r>
          </w:p>
        </w:tc>
      </w:tr>
      <w:tr>
        <w:trPr>
          <w:cantSplit/>
        </w:trPr>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Cause and consequence</w:t>
            </w:r>
          </w:p>
        </w:tc>
        <w:tc>
          <w:tcPr>
            <w:tcW w:type="dxa" w:w="74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Why did it happen, and what followed?</w:t>
            </w:r>
          </w:p>
        </w:tc>
      </w:tr>
      <w:tr>
        <w:trPr>
          <w:cantSplit/>
        </w:trPr>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6"/>
              </w:rPr>
              <w:t>Change and continuity</w:t>
            </w:r>
          </w:p>
        </w:tc>
        <w:tc>
          <w:tcPr>
            <w:tcW w:type="dxa" w:w="7416"/>
            <w:vAlign w:val="center"/>
            <w:tcMar>
              <w:top w:w="70" w:type="dxa"/>
              <w:start w:w="80" w:type="dxa"/>
              <w:bottom w:w="70" w:type="dxa"/>
              <w:end w:w="80" w:type="dxa"/>
            </w:tcMar>
          </w:tcPr>
          <w:p>
            <w:pPr>
              <w:spacing w:after="0" w:line="240" w:lineRule="auto"/>
            </w:pPr>
            <w:r/>
            <w:r>
              <w:rPr>
                <w:rFonts w:ascii="Aptos" w:hAnsi="Aptos"/>
                <w:b w:val="0"/>
                <w:color w:val="263238"/>
                <w:sz w:val="16"/>
              </w:rPr>
              <w:t>What changed, what stayed similar, and at what pace?</w:t>
            </w:r>
          </w:p>
        </w:tc>
      </w:tr>
      <w:tr>
        <w:trPr>
          <w:cantSplit/>
        </w:trPr>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Similarity and difference</w:t>
            </w:r>
          </w:p>
        </w:tc>
        <w:tc>
          <w:tcPr>
            <w:tcW w:type="dxa" w:w="74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How were experiences alike or different, and for whom?</w:t>
            </w:r>
          </w:p>
        </w:tc>
      </w:tr>
      <w:tr>
        <w:trPr>
          <w:cantSplit/>
        </w:trPr>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6"/>
              </w:rPr>
              <w:t>Significance</w:t>
            </w:r>
          </w:p>
        </w:tc>
        <w:tc>
          <w:tcPr>
            <w:tcW w:type="dxa" w:w="7416"/>
            <w:vAlign w:val="center"/>
            <w:tcMar>
              <w:top w:w="70" w:type="dxa"/>
              <w:start w:w="80" w:type="dxa"/>
              <w:bottom w:w="70" w:type="dxa"/>
              <w:end w:w="80" w:type="dxa"/>
            </w:tcMar>
          </w:tcPr>
          <w:p>
            <w:pPr>
              <w:spacing w:after="0" w:line="240" w:lineRule="auto"/>
            </w:pPr>
            <w:r/>
            <w:r>
              <w:rPr>
                <w:rFonts w:ascii="Aptos" w:hAnsi="Aptos"/>
                <w:b w:val="0"/>
                <w:color w:val="263238"/>
                <w:sz w:val="16"/>
              </w:rPr>
              <w:t>Why is this person, event or development remembered?</w:t>
            </w:r>
          </w:p>
        </w:tc>
      </w:tr>
      <w:tr>
        <w:trPr>
          <w:cantSplit/>
        </w:trPr>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Sources and evidence</w:t>
            </w:r>
          </w:p>
        </w:tc>
        <w:tc>
          <w:tcPr>
            <w:tcW w:type="dxa" w:w="74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What can this source help us infer, and what can it not tell us?</w:t>
            </w:r>
          </w:p>
        </w:tc>
      </w:tr>
      <w:tr>
        <w:trPr>
          <w:cantSplit/>
        </w:trPr>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6"/>
              </w:rPr>
              <w:t>Interpretations</w:t>
            </w:r>
          </w:p>
        </w:tc>
        <w:tc>
          <w:tcPr>
            <w:tcW w:type="dxa" w:w="7416"/>
            <w:vAlign w:val="center"/>
            <w:tcMar>
              <w:top w:w="70" w:type="dxa"/>
              <w:start w:w="80" w:type="dxa"/>
              <w:bottom w:w="70" w:type="dxa"/>
              <w:end w:w="80" w:type="dxa"/>
            </w:tcMar>
          </w:tcPr>
          <w:p>
            <w:pPr>
              <w:spacing w:after="0" w:line="240" w:lineRule="auto"/>
            </w:pPr>
            <w:r/>
            <w:r>
              <w:rPr>
                <w:rFonts w:ascii="Aptos" w:hAnsi="Aptos"/>
                <w:b w:val="0"/>
                <w:color w:val="263238"/>
                <w:sz w:val="16"/>
              </w:rPr>
              <w:t>How and why have accounts of the past been constructed differently?</w:t>
            </w:r>
          </w:p>
        </w:tc>
      </w:tr>
      <w:tr>
        <w:trPr>
          <w:cantSplit/>
        </w:trPr>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Enquiry and communication</w:t>
            </w:r>
          </w:p>
        </w:tc>
        <w:tc>
          <w:tcPr>
            <w:tcW w:type="dxa" w:w="74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How can I select and organise evidence to answer the question?</w:t>
            </w:r>
          </w:p>
        </w:tc>
      </w:tr>
    </w:tbl>
    <w:p>
      <w:pPr>
        <w:spacing w:after="0" w:lineRule="exact" w:line="40"/>
      </w:pPr>
    </w:p>
    <w:p>
      <w:r>
        <w:br w:type="page"/>
      </w:r>
    </w:p>
    <w:p>
      <w:pPr>
        <w:spacing w:after="60"/>
      </w:pPr>
      <w:r>
        <w:rPr>
          <w:rFonts w:ascii="Aptos" w:hAnsi="Aptos"/>
          <w:b/>
          <w:color w:val="D6A84B"/>
          <w:sz w:val="17"/>
        </w:rPr>
        <w:t>3 • CURRICULUM MAP</w:t>
      </w:r>
    </w:p>
    <w:p>
      <w:pPr>
        <w:pStyle w:val="Title"/>
        <w:spacing w:after="100"/>
      </w:pPr>
      <w:r>
        <w:t>The 2026–27 History sequence</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22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Term</w:t>
            </w:r>
          </w:p>
        </w:tc>
        <w:tc>
          <w:tcPr>
            <w:tcW w:type="dxa" w:w="367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Years 1/2/3 shared enquiry</w:t>
            </w:r>
          </w:p>
        </w:tc>
        <w:tc>
          <w:tcPr>
            <w:tcW w:type="dxa" w:w="367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Years 4/5/6 shared enquiry</w:t>
            </w:r>
          </w:p>
        </w:tc>
        <w:tc>
          <w:tcPr>
            <w:tcW w:type="dxa" w:w="151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Primary lens</w:t>
            </w:r>
          </w:p>
        </w:tc>
      </w:tr>
      <w:tr>
        <w:trPr>
          <w:cantSplit/>
        </w:trPr>
        <w:tc>
          <w:tcPr>
            <w:tcW w:type="dxa" w:w="1224"/>
            <w:vAlign w:val="center"/>
            <w:tcMar>
              <w:top w:w="70" w:type="dxa"/>
              <w:start w:w="80" w:type="dxa"/>
              <w:bottom w:w="70" w:type="dxa"/>
              <w:end w:w="80" w:type="dxa"/>
            </w:tcMar>
          </w:tcPr>
          <w:p>
            <w:pPr>
              <w:spacing w:after="0" w:line="240" w:lineRule="auto"/>
            </w:pPr>
            <w:r/>
            <w:r>
              <w:rPr>
                <w:rFonts w:ascii="Aptos" w:hAnsi="Aptos"/>
                <w:b w:val="0"/>
                <w:color w:val="263238"/>
                <w:sz w:val="15"/>
              </w:rPr>
              <w:t>Autumn 2</w:t>
            </w:r>
          </w:p>
        </w:tc>
        <w:tc>
          <w:tcPr>
            <w:tcW w:type="dxa" w:w="3672"/>
            <w:vAlign w:val="center"/>
            <w:tcMar>
              <w:top w:w="70" w:type="dxa"/>
              <w:start w:w="80" w:type="dxa"/>
              <w:bottom w:w="70" w:type="dxa"/>
              <w:end w:w="80" w:type="dxa"/>
            </w:tcMar>
          </w:tcPr>
          <w:p>
            <w:pPr>
              <w:spacing w:after="0" w:line="240" w:lineRule="auto"/>
            </w:pPr>
            <w:r/>
            <w:r>
              <w:rPr>
                <w:rFonts w:ascii="Aptos" w:hAnsi="Aptos"/>
                <w:b w:val="0"/>
                <w:color w:val="263238"/>
                <w:sz w:val="15"/>
              </w:rPr>
              <w:t>The Gunpowder Plot</w:t>
            </w:r>
          </w:p>
        </w:tc>
        <w:tc>
          <w:tcPr>
            <w:tcW w:type="dxa" w:w="3672"/>
            <w:vAlign w:val="center"/>
            <w:tcMar>
              <w:top w:w="70" w:type="dxa"/>
              <w:start w:w="80" w:type="dxa"/>
              <w:bottom w:w="70" w:type="dxa"/>
              <w:end w:w="80" w:type="dxa"/>
            </w:tcMar>
          </w:tcPr>
          <w:p>
            <w:pPr>
              <w:spacing w:after="0" w:line="240" w:lineRule="auto"/>
            </w:pPr>
            <w:r/>
            <w:r>
              <w:rPr>
                <w:rFonts w:ascii="Aptos" w:hAnsi="Aptos"/>
                <w:b w:val="0"/>
                <w:color w:val="263238"/>
                <w:sz w:val="15"/>
              </w:rPr>
              <w:t>Children at War: Evacuees</w:t>
            </w:r>
          </w:p>
        </w:tc>
        <w:tc>
          <w:tcPr>
            <w:tcW w:type="dxa" w:w="1512"/>
            <w:vAlign w:val="center"/>
            <w:tcMar>
              <w:top w:w="70" w:type="dxa"/>
              <w:start w:w="80" w:type="dxa"/>
              <w:bottom w:w="70" w:type="dxa"/>
              <w:end w:w="80" w:type="dxa"/>
            </w:tcMar>
          </w:tcPr>
          <w:p>
            <w:pPr>
              <w:spacing w:after="0" w:line="240" w:lineRule="auto"/>
            </w:pPr>
            <w:r/>
            <w:r>
              <w:rPr>
                <w:rFonts w:ascii="Aptos" w:hAnsi="Aptos"/>
                <w:b w:val="0"/>
                <w:color w:val="263238"/>
                <w:sz w:val="15"/>
              </w:rPr>
              <w:t>Cause / consequence; evidence</w:t>
            </w:r>
          </w:p>
        </w:tc>
      </w:tr>
      <w:tr>
        <w:trPr>
          <w:cantSplit/>
        </w:trPr>
        <w:tc>
          <w:tcPr>
            <w:tcW w:type="dxa" w:w="122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Spring 1</w:t>
            </w:r>
          </w:p>
        </w:tc>
        <w:tc>
          <w:tcPr>
            <w:tcW w:type="dxa" w:w="36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 Geography-led block</w:t>
            </w:r>
          </w:p>
        </w:tc>
        <w:tc>
          <w:tcPr>
            <w:tcW w:type="dxa" w:w="36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How did trade change Britain?</w:t>
            </w:r>
          </w:p>
        </w:tc>
        <w:tc>
          <w:tcPr>
            <w:tcW w:type="dxa" w:w="151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Change / consequence; connection</w:t>
            </w:r>
          </w:p>
        </w:tc>
      </w:tr>
      <w:tr>
        <w:trPr>
          <w:cantSplit/>
        </w:trPr>
        <w:tc>
          <w:tcPr>
            <w:tcW w:type="dxa" w:w="1224"/>
            <w:vAlign w:val="center"/>
            <w:tcMar>
              <w:top w:w="70" w:type="dxa"/>
              <w:start w:w="80" w:type="dxa"/>
              <w:bottom w:w="70" w:type="dxa"/>
              <w:end w:w="80" w:type="dxa"/>
            </w:tcMar>
          </w:tcPr>
          <w:p>
            <w:pPr>
              <w:spacing w:after="0" w:line="240" w:lineRule="auto"/>
            </w:pPr>
            <w:r/>
            <w:r>
              <w:rPr>
                <w:rFonts w:ascii="Aptos" w:hAnsi="Aptos"/>
                <w:b w:val="0"/>
                <w:color w:val="263238"/>
                <w:sz w:val="15"/>
              </w:rPr>
              <w:t>Spring 2</w:t>
            </w:r>
          </w:p>
        </w:tc>
        <w:tc>
          <w:tcPr>
            <w:tcW w:type="dxa" w:w="3672"/>
            <w:vAlign w:val="center"/>
            <w:tcMar>
              <w:top w:w="70" w:type="dxa"/>
              <w:start w:w="80" w:type="dxa"/>
              <w:bottom w:w="70" w:type="dxa"/>
              <w:end w:w="80" w:type="dxa"/>
            </w:tcMar>
          </w:tcPr>
          <w:p>
            <w:pPr>
              <w:spacing w:after="0" w:line="240" w:lineRule="auto"/>
            </w:pPr>
            <w:r/>
            <w:r>
              <w:rPr>
                <w:rFonts w:ascii="Aptos" w:hAnsi="Aptos"/>
                <w:b w:val="0"/>
                <w:color w:val="263238"/>
                <w:sz w:val="15"/>
              </w:rPr>
              <w:t>Toys: Past and Present</w:t>
            </w:r>
          </w:p>
        </w:tc>
        <w:tc>
          <w:tcPr>
            <w:tcW w:type="dxa" w:w="3672"/>
            <w:vAlign w:val="center"/>
            <w:tcMar>
              <w:top w:w="70" w:type="dxa"/>
              <w:start w:w="80" w:type="dxa"/>
              <w:bottom w:w="70" w:type="dxa"/>
              <w:end w:w="80" w:type="dxa"/>
            </w:tcMar>
          </w:tcPr>
          <w:p>
            <w:pPr>
              <w:spacing w:after="0" w:line="240" w:lineRule="auto"/>
            </w:pPr>
            <w:r/>
            <w:r>
              <w:rPr>
                <w:rFonts w:ascii="Aptos" w:hAnsi="Aptos"/>
                <w:b w:val="0"/>
                <w:color w:val="263238"/>
                <w:sz w:val="15"/>
              </w:rPr>
              <w:t>How can knowledge change the world?*</w:t>
            </w:r>
          </w:p>
        </w:tc>
        <w:tc>
          <w:tcPr>
            <w:tcW w:type="dxa" w:w="1512"/>
            <w:vAlign w:val="center"/>
            <w:tcMar>
              <w:top w:w="70" w:type="dxa"/>
              <w:start w:w="80" w:type="dxa"/>
              <w:bottom w:w="70" w:type="dxa"/>
              <w:end w:w="80" w:type="dxa"/>
            </w:tcMar>
          </w:tcPr>
          <w:p>
            <w:pPr>
              <w:spacing w:after="0" w:line="240" w:lineRule="auto"/>
            </w:pPr>
            <w:r/>
            <w:r>
              <w:rPr>
                <w:rFonts w:ascii="Aptos" w:hAnsi="Aptos"/>
                <w:b w:val="0"/>
                <w:color w:val="263238"/>
                <w:sz w:val="15"/>
              </w:rPr>
              <w:t>Change / continuity; significance</w:t>
            </w:r>
          </w:p>
        </w:tc>
      </w:tr>
      <w:tr>
        <w:trPr>
          <w:cantSplit/>
        </w:trPr>
        <w:tc>
          <w:tcPr>
            <w:tcW w:type="dxa" w:w="122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Summer 1</w:t>
            </w:r>
          </w:p>
        </w:tc>
        <w:tc>
          <w:tcPr>
            <w:tcW w:type="dxa" w:w="36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How has Chipping changed? Landscape and land use</w:t>
            </w:r>
          </w:p>
        </w:tc>
        <w:tc>
          <w:tcPr>
            <w:tcW w:type="dxa" w:w="36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 Geography-led block</w:t>
            </w:r>
          </w:p>
        </w:tc>
        <w:tc>
          <w:tcPr>
            <w:tcW w:type="dxa" w:w="151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Local evidence; change / continuity</w:t>
            </w:r>
          </w:p>
        </w:tc>
      </w:tr>
      <w:tr>
        <w:trPr>
          <w:cantSplit/>
        </w:trPr>
        <w:tc>
          <w:tcPr>
            <w:tcW w:type="dxa" w:w="1224"/>
            <w:vAlign w:val="center"/>
            <w:tcMar>
              <w:top w:w="70" w:type="dxa"/>
              <w:start w:w="80" w:type="dxa"/>
              <w:bottom w:w="70" w:type="dxa"/>
              <w:end w:w="80" w:type="dxa"/>
            </w:tcMar>
          </w:tcPr>
          <w:p>
            <w:pPr>
              <w:spacing w:after="0" w:line="240" w:lineRule="auto"/>
            </w:pPr>
            <w:r/>
            <w:r>
              <w:rPr>
                <w:rFonts w:ascii="Aptos" w:hAnsi="Aptos"/>
                <w:b w:val="0"/>
                <w:color w:val="263238"/>
                <w:sz w:val="15"/>
              </w:rPr>
              <w:t>Summer 2</w:t>
            </w:r>
          </w:p>
        </w:tc>
        <w:tc>
          <w:tcPr>
            <w:tcW w:type="dxa" w:w="3672"/>
            <w:vAlign w:val="center"/>
            <w:tcMar>
              <w:top w:w="70" w:type="dxa"/>
              <w:start w:w="80" w:type="dxa"/>
              <w:bottom w:w="70" w:type="dxa"/>
              <w:end w:w="80" w:type="dxa"/>
            </w:tcMar>
          </w:tcPr>
          <w:p>
            <w:pPr>
              <w:spacing w:after="0" w:line="240" w:lineRule="auto"/>
            </w:pPr>
            <w:r/>
            <w:r>
              <w:rPr>
                <w:rFonts w:ascii="Aptos" w:hAnsi="Aptos"/>
                <w:b w:val="0"/>
                <w:color w:val="263238"/>
                <w:sz w:val="15"/>
              </w:rPr>
              <w:t>— Geography-led block</w:t>
            </w:r>
          </w:p>
        </w:tc>
        <w:tc>
          <w:tcPr>
            <w:tcW w:type="dxa" w:w="3672"/>
            <w:vAlign w:val="center"/>
            <w:tcMar>
              <w:top w:w="70" w:type="dxa"/>
              <w:start w:w="80" w:type="dxa"/>
              <w:bottom w:w="70" w:type="dxa"/>
              <w:end w:w="80" w:type="dxa"/>
            </w:tcMar>
          </w:tcPr>
          <w:p>
            <w:pPr>
              <w:spacing w:after="0" w:line="240" w:lineRule="auto"/>
            </w:pPr>
            <w:r/>
            <w:r>
              <w:rPr>
                <w:rFonts w:ascii="Aptos" w:hAnsi="Aptos"/>
                <w:b w:val="0"/>
                <w:color w:val="263238"/>
                <w:sz w:val="15"/>
              </w:rPr>
              <w:t>A significant person who brought about change†</w:t>
            </w:r>
          </w:p>
        </w:tc>
        <w:tc>
          <w:tcPr>
            <w:tcW w:type="dxa" w:w="1512"/>
            <w:vAlign w:val="center"/>
            <w:tcMar>
              <w:top w:w="70" w:type="dxa"/>
              <w:start w:w="80" w:type="dxa"/>
              <w:bottom w:w="70" w:type="dxa"/>
              <w:end w:w="80" w:type="dxa"/>
            </w:tcMar>
          </w:tcPr>
          <w:p>
            <w:pPr>
              <w:spacing w:after="0" w:line="240" w:lineRule="auto"/>
            </w:pPr>
            <w:r/>
            <w:r>
              <w:rPr>
                <w:rFonts w:ascii="Aptos" w:hAnsi="Aptos"/>
                <w:b w:val="0"/>
                <w:color w:val="263238"/>
                <w:sz w:val="15"/>
              </w:rPr>
              <w:t>Significance; interpretations</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 Cross-curricular bridge  </w:t>
            </w:r>
            <w:r>
              <w:rPr>
                <w:color w:val="263238"/>
                <w:sz w:val="18"/>
              </w:rPr>
              <w:t>The source overview does not yet define the historical period, person or evidence for ‘How can knowledge change the world?’. It may enrich History, but should not be counted as a core History entitlement until those decisions are recorded.</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A33B3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BEAEA"/>
            <w:tcMar>
              <w:top w:w="90" w:type="dxa"/>
              <w:start w:w="110" w:type="dxa"/>
              <w:bottom w:w="90" w:type="dxa"/>
              <w:end w:w="110" w:type="dxa"/>
            </w:tcMar>
            <w:vAlign w:val="center"/>
          </w:tcPr>
          <w:p>
            <w:pPr>
              <w:spacing w:after="20"/>
            </w:pPr>
            <w:r/>
            <w:r>
              <w:rPr>
                <w:b/>
                <w:color w:val="A33B3B"/>
                <w:sz w:val="18"/>
              </w:rPr>
              <w:t xml:space="preserve">† Planning decision required  </w:t>
            </w:r>
            <w:r>
              <w:rPr>
                <w:color w:val="263238"/>
                <w:sz w:val="18"/>
              </w:rPr>
              <w:t>Name the significant person before teaching and state the period, change, diverse perspectives and source set. This makes the unit auditable and prevents a biography-only approach.</w:t>
            </w:r>
          </w:p>
        </w:tc>
      </w:tr>
    </w:tbl>
    <w:p>
      <w:pPr>
        <w:spacing w:after="0" w:lineRule="exact" w:line="40"/>
      </w:pPr>
    </w:p>
    <w:p>
      <w:pPr>
        <w:pStyle w:val="Heading2"/>
      </w:pPr>
      <w:r>
        <w:t>Coherence across the year</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232"/>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Golden thread</w:t>
            </w:r>
          </w:p>
        </w:tc>
        <w:tc>
          <w:tcPr>
            <w:tcW w:type="dxa" w:w="396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Lower-class encounter</w:t>
            </w:r>
          </w:p>
        </w:tc>
        <w:tc>
          <w:tcPr>
            <w:tcW w:type="dxa" w:w="396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Upper-class encounter</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Belonging and community</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6"/>
              </w:rPr>
              <w:t>Chipping then and now; local memory</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6"/>
              </w:rPr>
              <w:t>Evacuation: leaving and making a temporary home</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Power, belief and decision</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James I, Parliament and the plotters</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Government, wartime policy, traders and institutions</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Technology and knowledge</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6"/>
              </w:rPr>
              <w:t>Materials and mechanisms in toys</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6"/>
              </w:rPr>
              <w:t>Knowledge, innovation, navigation, production and exchange</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Conflict and consequence</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Religious/political conflict and remembrance</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War’s effects on children and communities</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Movement and connection</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6"/>
              </w:rPr>
              <w:t>Movement within local change</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6"/>
              </w:rPr>
              <w:t>Evacuation and networks of trade</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Voice, diversity and legacy</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Whose stories are remembered locally?</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Different childhood experiences; whose change is judged significant?</w:t>
            </w:r>
          </w:p>
        </w:tc>
      </w:tr>
    </w:tbl>
    <w:p>
      <w:pPr>
        <w:spacing w:after="0" w:lineRule="exact" w:line="40"/>
      </w:pPr>
    </w:p>
    <w:p>
      <w:r>
        <w:br w:type="page"/>
      </w:r>
    </w:p>
    <w:p>
      <w:pPr>
        <w:spacing w:after="60"/>
      </w:pPr>
      <w:r>
        <w:rPr>
          <w:rFonts w:ascii="Aptos" w:hAnsi="Aptos"/>
          <w:b/>
          <w:color w:val="D6A84B"/>
          <w:sz w:val="17"/>
        </w:rPr>
        <w:t>4 • STATUTORY ALIGNMENT</w:t>
      </w:r>
    </w:p>
    <w:p>
      <w:pPr>
        <w:pStyle w:val="Title"/>
        <w:spacing w:after="100"/>
      </w:pPr>
      <w:r>
        <w:t>National Curriculum coverage and honest audit</w:t>
      </w:r>
    </w:p>
    <w:p>
      <w:pPr>
        <w:pStyle w:val="Heading2"/>
      </w:pPr>
      <w:r>
        <w:t>Key Stage 1</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453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Statutory content</w:t>
            </w:r>
          </w:p>
        </w:tc>
        <w:tc>
          <w:tcPr>
            <w:tcW w:type="dxa" w:w="39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2026–27 contribution</w:t>
            </w:r>
          </w:p>
        </w:tc>
        <w:tc>
          <w:tcPr>
            <w:tcW w:type="dxa" w:w="158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Judgement</w:t>
            </w:r>
          </w:p>
        </w:tc>
      </w:tr>
      <w:tr>
        <w:trPr>
          <w:cantSplit/>
        </w:trPr>
        <w:tc>
          <w:tcPr>
            <w:tcW w:type="dxa" w:w="4536"/>
            <w:vAlign w:val="center"/>
            <w:tcMar>
              <w:top w:w="70" w:type="dxa"/>
              <w:start w:w="80" w:type="dxa"/>
              <w:bottom w:w="70" w:type="dxa"/>
              <w:end w:w="80" w:type="dxa"/>
            </w:tcMar>
          </w:tcPr>
          <w:p>
            <w:pPr>
              <w:spacing w:after="0" w:line="240" w:lineRule="auto"/>
            </w:pPr>
            <w:r/>
            <w:r>
              <w:rPr>
                <w:rFonts w:ascii="Aptos" w:hAnsi="Aptos"/>
                <w:b w:val="0"/>
                <w:color w:val="263238"/>
                <w:sz w:val="15"/>
              </w:rPr>
              <w:t>Changes within living memory</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5"/>
              </w:rPr>
              <w:t>Toys: Past and Present</w:t>
            </w:r>
          </w:p>
        </w:tc>
        <w:tc>
          <w:tcPr>
            <w:tcW w:type="dxa" w:w="1584"/>
            <w:vAlign w:val="center"/>
            <w:tcMar>
              <w:top w:w="70" w:type="dxa"/>
              <w:start w:w="80" w:type="dxa"/>
              <w:bottom w:w="70" w:type="dxa"/>
              <w:end w:w="80" w:type="dxa"/>
            </w:tcMar>
          </w:tcPr>
          <w:p>
            <w:pPr>
              <w:spacing w:after="0" w:line="240" w:lineRule="auto"/>
            </w:pPr>
            <w:r/>
            <w:r>
              <w:rPr>
                <w:rFonts w:ascii="Aptos" w:hAnsi="Aptos"/>
                <w:b w:val="0"/>
                <w:color w:val="263238"/>
                <w:sz w:val="15"/>
              </w:rPr>
              <w:t>Secure contribution</w:t>
            </w:r>
          </w:p>
        </w:tc>
      </w:tr>
      <w:tr>
        <w:trPr>
          <w:cantSplit/>
        </w:trPr>
        <w:tc>
          <w:tcPr>
            <w:tcW w:type="dxa" w:w="453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Events beyond living memory significant nationally or globally</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5"/>
              </w:rPr>
              <w:t>The Gunpowder Plot</w:t>
            </w:r>
          </w:p>
        </w:tc>
        <w:tc>
          <w:tcPr>
            <w:tcW w:type="dxa" w:w="158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Secure contribution</w:t>
            </w:r>
          </w:p>
        </w:tc>
      </w:tr>
      <w:tr>
        <w:trPr>
          <w:cantSplit/>
        </w:trPr>
        <w:tc>
          <w:tcPr>
            <w:tcW w:type="dxa" w:w="4536"/>
            <w:vAlign w:val="center"/>
            <w:tcMar>
              <w:top w:w="70" w:type="dxa"/>
              <w:start w:w="80" w:type="dxa"/>
              <w:bottom w:w="70" w:type="dxa"/>
              <w:end w:w="80" w:type="dxa"/>
            </w:tcMar>
          </w:tcPr>
          <w:p>
            <w:pPr>
              <w:spacing w:after="0" w:line="240" w:lineRule="auto"/>
            </w:pPr>
            <w:r/>
            <w:r>
              <w:rPr>
                <w:rFonts w:ascii="Aptos" w:hAnsi="Aptos"/>
                <w:b w:val="0"/>
                <w:color w:val="263238"/>
                <w:sz w:val="15"/>
              </w:rPr>
              <w:t>Lives of significant individuals</w:t>
            </w:r>
          </w:p>
        </w:tc>
        <w:tc>
          <w:tcPr>
            <w:tcW w:type="dxa" w:w="3960"/>
            <w:vAlign w:val="center"/>
            <w:tcMar>
              <w:top w:w="70" w:type="dxa"/>
              <w:start w:w="80" w:type="dxa"/>
              <w:bottom w:w="70" w:type="dxa"/>
              <w:end w:w="80" w:type="dxa"/>
            </w:tcMar>
          </w:tcPr>
          <w:p>
            <w:pPr>
              <w:spacing w:after="0" w:line="240" w:lineRule="auto"/>
            </w:pPr>
            <w:r/>
            <w:r>
              <w:rPr>
                <w:rFonts w:ascii="Aptos" w:hAnsi="Aptos"/>
                <w:b w:val="0"/>
                <w:color w:val="263238"/>
                <w:sz w:val="15"/>
              </w:rPr>
              <w:t>May be supported through inventors/toy designers; must be explicitly planned if used for coverage</w:t>
            </w:r>
          </w:p>
        </w:tc>
        <w:tc>
          <w:tcPr>
            <w:tcW w:type="dxa" w:w="1584"/>
            <w:vAlign w:val="center"/>
            <w:tcMar>
              <w:top w:w="70" w:type="dxa"/>
              <w:start w:w="80" w:type="dxa"/>
              <w:bottom w:w="70" w:type="dxa"/>
              <w:end w:w="80" w:type="dxa"/>
            </w:tcMar>
          </w:tcPr>
          <w:p>
            <w:pPr>
              <w:spacing w:after="0" w:line="240" w:lineRule="auto"/>
            </w:pPr>
            <w:r/>
            <w:r>
              <w:rPr>
                <w:rFonts w:ascii="Aptos" w:hAnsi="Aptos"/>
                <w:b w:val="0"/>
                <w:color w:val="263238"/>
                <w:sz w:val="15"/>
              </w:rPr>
              <w:t>Partly explicit</w:t>
            </w:r>
          </w:p>
        </w:tc>
      </w:tr>
      <w:tr>
        <w:trPr>
          <w:cantSplit/>
        </w:trPr>
        <w:tc>
          <w:tcPr>
            <w:tcW w:type="dxa" w:w="453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Significant historical events, people and places in own locality</w:t>
            </w:r>
          </w:p>
        </w:tc>
        <w:tc>
          <w:tcPr>
            <w:tcW w:type="dxa" w:w="3960"/>
            <w:vAlign w:val="center"/>
            <w:tcMar>
              <w:top w:w="70" w:type="dxa"/>
              <w:start w:w="80" w:type="dxa"/>
              <w:bottom w:w="70" w:type="dxa"/>
              <w:end w:w="80" w:type="dxa"/>
            </w:tcMar>
            <w:shd w:fill="F7F8FA"/>
          </w:tcPr>
          <w:p>
            <w:pPr>
              <w:spacing w:after="0" w:line="240" w:lineRule="auto"/>
            </w:pPr>
            <w:r/>
            <w:r>
              <w:rPr>
                <w:rFonts w:ascii="Aptos" w:hAnsi="Aptos"/>
                <w:b w:val="0"/>
                <w:color w:val="263238"/>
                <w:sz w:val="15"/>
              </w:rPr>
              <w:t>How has Chipping changed?</w:t>
            </w:r>
          </w:p>
        </w:tc>
        <w:tc>
          <w:tcPr>
            <w:tcW w:type="dxa" w:w="158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Secure contribution</w:t>
            </w:r>
          </w:p>
        </w:tc>
      </w:tr>
    </w:tbl>
    <w:p>
      <w:pPr>
        <w:spacing w:after="0" w:lineRule="exact" w:line="40"/>
      </w:pPr>
    </w:p>
    <w:p>
      <w:pPr>
        <w:pStyle w:val="Heading2"/>
      </w:pPr>
      <w:r>
        <w:t>Key Stage 2</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432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Statutory content area</w:t>
            </w:r>
          </w:p>
        </w:tc>
        <w:tc>
          <w:tcPr>
            <w:tcW w:type="dxa" w:w="3888"/>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2026–27 contribution</w:t>
            </w:r>
          </w:p>
        </w:tc>
        <w:tc>
          <w:tcPr>
            <w:tcW w:type="dxa" w:w="187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Status in this one-year map</w:t>
            </w:r>
          </w:p>
        </w:tc>
      </w:tr>
      <w:tr>
        <w:trPr>
          <w:cantSplit/>
        </w:trPr>
        <w:tc>
          <w:tcPr>
            <w:tcW w:type="dxa" w:w="4320"/>
            <w:vAlign w:val="center"/>
            <w:tcMar>
              <w:top w:w="70" w:type="dxa"/>
              <w:start w:w="80" w:type="dxa"/>
              <w:bottom w:w="70" w:type="dxa"/>
              <w:end w:w="80" w:type="dxa"/>
            </w:tcMar>
          </w:tcPr>
          <w:p>
            <w:pPr>
              <w:spacing w:after="0" w:line="240" w:lineRule="auto"/>
            </w:pPr>
            <w:r/>
            <w:r>
              <w:rPr>
                <w:rFonts w:ascii="Aptos" w:hAnsi="Aptos"/>
                <w:b w:val="0"/>
                <w:color w:val="263238"/>
                <w:sz w:val="15"/>
              </w:rPr>
              <w:t>Local history study</w:t>
            </w:r>
          </w:p>
        </w:tc>
        <w:tc>
          <w:tcPr>
            <w:tcW w:type="dxa" w:w="3888"/>
            <w:vAlign w:val="center"/>
            <w:tcMar>
              <w:top w:w="70" w:type="dxa"/>
              <w:start w:w="80" w:type="dxa"/>
              <w:bottom w:w="70" w:type="dxa"/>
              <w:end w:w="80" w:type="dxa"/>
            </w:tcMar>
          </w:tcPr>
          <w:p>
            <w:pPr>
              <w:spacing w:after="0" w:line="240" w:lineRule="auto"/>
            </w:pPr>
            <w:r/>
            <w:r>
              <w:rPr>
                <w:rFonts w:ascii="Aptos" w:hAnsi="Aptos"/>
                <w:b w:val="0"/>
                <w:color w:val="263238"/>
                <w:sz w:val="15"/>
              </w:rPr>
              <w:t>Chipping for Year 3, taught at KS2 depth</w:t>
            </w:r>
          </w:p>
        </w:tc>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5"/>
              </w:rPr>
              <w:t>Explicit</w:t>
            </w:r>
          </w:p>
        </w:tc>
      </w:tr>
      <w:tr>
        <w:trPr>
          <w:cantSplit/>
        </w:trPr>
        <w:tc>
          <w:tcPr>
            <w:tcW w:type="dxa" w:w="4320"/>
            <w:vAlign w:val="center"/>
            <w:tcMar>
              <w:top w:w="70" w:type="dxa"/>
              <w:start w:w="80" w:type="dxa"/>
              <w:bottom w:w="70" w:type="dxa"/>
              <w:end w:w="80" w:type="dxa"/>
            </w:tcMar>
            <w:shd w:fill="F7F8FA"/>
          </w:tcPr>
          <w:p>
            <w:pPr>
              <w:spacing w:after="0" w:line="240" w:lineRule="auto"/>
            </w:pPr>
            <w:r/>
            <w:r>
              <w:rPr>
                <w:rFonts w:ascii="Aptos" w:hAnsi="Aptos"/>
                <w:b w:val="0"/>
                <w:color w:val="263238"/>
                <w:sz w:val="15"/>
              </w:rPr>
              <w:t>Aspect/theme in British history extending beyond 1066</w:t>
            </w:r>
          </w:p>
        </w:tc>
        <w:tc>
          <w:tcPr>
            <w:tcW w:type="dxa" w:w="388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Gunpowder Plot (Y3); Second World War childhood; trade; chosen person where applicable</w:t>
            </w:r>
          </w:p>
        </w:tc>
        <w:tc>
          <w:tcPr>
            <w:tcW w:type="dxa" w:w="18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Explicit</w:t>
            </w:r>
          </w:p>
        </w:tc>
      </w:tr>
      <w:tr>
        <w:trPr>
          <w:cantSplit/>
        </w:trPr>
        <w:tc>
          <w:tcPr>
            <w:tcW w:type="dxa" w:w="4320"/>
            <w:vAlign w:val="center"/>
            <w:tcMar>
              <w:top w:w="70" w:type="dxa"/>
              <w:start w:w="80" w:type="dxa"/>
              <w:bottom w:w="70" w:type="dxa"/>
              <w:end w:w="80" w:type="dxa"/>
            </w:tcMar>
          </w:tcPr>
          <w:p>
            <w:pPr>
              <w:spacing w:after="0" w:line="240" w:lineRule="auto"/>
            </w:pPr>
            <w:r/>
            <w:r>
              <w:rPr>
                <w:rFonts w:ascii="Aptos" w:hAnsi="Aptos"/>
                <w:b w:val="0"/>
                <w:color w:val="263238"/>
                <w:sz w:val="15"/>
              </w:rPr>
              <w:t>Changes in Britain from Stone Age to Iron Age</w:t>
            </w:r>
          </w:p>
        </w:tc>
        <w:tc>
          <w:tcPr>
            <w:tcW w:type="dxa" w:w="3888"/>
            <w:vAlign w:val="center"/>
            <w:tcMar>
              <w:top w:w="70" w:type="dxa"/>
              <w:start w:w="80" w:type="dxa"/>
              <w:bottom w:w="70" w:type="dxa"/>
              <w:end w:w="80" w:type="dxa"/>
            </w:tcMar>
          </w:tcPr>
          <w:p>
            <w:pPr>
              <w:spacing w:after="0" w:line="240" w:lineRule="auto"/>
            </w:pPr>
            <w:r/>
            <w:r>
              <w:rPr>
                <w:rFonts w:ascii="Aptos" w:hAnsi="Aptos"/>
                <w:b w:val="0"/>
                <w:color w:val="263238"/>
                <w:sz w:val="15"/>
              </w:rPr>
              <w:t>Not present in this one-year map</w:t>
            </w:r>
          </w:p>
        </w:tc>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5"/>
              </w:rPr>
              <w:t>To secure in future cycle</w:t>
            </w:r>
          </w:p>
        </w:tc>
      </w:tr>
      <w:tr>
        <w:trPr>
          <w:cantSplit/>
        </w:trPr>
        <w:tc>
          <w:tcPr>
            <w:tcW w:type="dxa" w:w="4320"/>
            <w:vAlign w:val="center"/>
            <w:tcMar>
              <w:top w:w="70" w:type="dxa"/>
              <w:start w:w="80" w:type="dxa"/>
              <w:bottom w:w="70" w:type="dxa"/>
              <w:end w:w="80" w:type="dxa"/>
            </w:tcMar>
            <w:shd w:fill="F7F8FA"/>
          </w:tcPr>
          <w:p>
            <w:pPr>
              <w:spacing w:after="0" w:line="240" w:lineRule="auto"/>
            </w:pPr>
            <w:r/>
            <w:r>
              <w:rPr>
                <w:rFonts w:ascii="Aptos" w:hAnsi="Aptos"/>
                <w:b w:val="0"/>
                <w:color w:val="263238"/>
                <w:sz w:val="15"/>
              </w:rPr>
              <w:t>Roman Empire and impact on Britain</w:t>
            </w:r>
          </w:p>
        </w:tc>
        <w:tc>
          <w:tcPr>
            <w:tcW w:type="dxa" w:w="388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Not present</w:t>
            </w:r>
          </w:p>
        </w:tc>
        <w:tc>
          <w:tcPr>
            <w:tcW w:type="dxa" w:w="18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To secure in future cycle</w:t>
            </w:r>
          </w:p>
        </w:tc>
      </w:tr>
      <w:tr>
        <w:trPr>
          <w:cantSplit/>
        </w:trPr>
        <w:tc>
          <w:tcPr>
            <w:tcW w:type="dxa" w:w="4320"/>
            <w:vAlign w:val="center"/>
            <w:tcMar>
              <w:top w:w="70" w:type="dxa"/>
              <w:start w:w="80" w:type="dxa"/>
              <w:bottom w:w="70" w:type="dxa"/>
              <w:end w:w="80" w:type="dxa"/>
            </w:tcMar>
          </w:tcPr>
          <w:p>
            <w:pPr>
              <w:spacing w:after="0" w:line="240" w:lineRule="auto"/>
            </w:pPr>
            <w:r/>
            <w:r>
              <w:rPr>
                <w:rFonts w:ascii="Aptos" w:hAnsi="Aptos"/>
                <w:b w:val="0"/>
                <w:color w:val="263238"/>
                <w:sz w:val="15"/>
              </w:rPr>
              <w:t>Britain’s settlement by Anglo-Saxons and Scots</w:t>
            </w:r>
          </w:p>
        </w:tc>
        <w:tc>
          <w:tcPr>
            <w:tcW w:type="dxa" w:w="3888"/>
            <w:vAlign w:val="center"/>
            <w:tcMar>
              <w:top w:w="70" w:type="dxa"/>
              <w:start w:w="80" w:type="dxa"/>
              <w:bottom w:w="70" w:type="dxa"/>
              <w:end w:w="80" w:type="dxa"/>
            </w:tcMar>
          </w:tcPr>
          <w:p>
            <w:pPr>
              <w:spacing w:after="0" w:line="240" w:lineRule="auto"/>
            </w:pPr>
            <w:r/>
            <w:r>
              <w:rPr>
                <w:rFonts w:ascii="Aptos" w:hAnsi="Aptos"/>
                <w:b w:val="0"/>
                <w:color w:val="263238"/>
                <w:sz w:val="15"/>
              </w:rPr>
              <w:t>Not present</w:t>
            </w:r>
          </w:p>
        </w:tc>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5"/>
              </w:rPr>
              <w:t>To secure in future cycle</w:t>
            </w:r>
          </w:p>
        </w:tc>
      </w:tr>
      <w:tr>
        <w:trPr>
          <w:cantSplit/>
        </w:trPr>
        <w:tc>
          <w:tcPr>
            <w:tcW w:type="dxa" w:w="4320"/>
            <w:vAlign w:val="center"/>
            <w:tcMar>
              <w:top w:w="70" w:type="dxa"/>
              <w:start w:w="80" w:type="dxa"/>
              <w:bottom w:w="70" w:type="dxa"/>
              <w:end w:w="80" w:type="dxa"/>
            </w:tcMar>
            <w:shd w:fill="F7F8FA"/>
          </w:tcPr>
          <w:p>
            <w:pPr>
              <w:spacing w:after="0" w:line="240" w:lineRule="auto"/>
            </w:pPr>
            <w:r/>
            <w:r>
              <w:rPr>
                <w:rFonts w:ascii="Aptos" w:hAnsi="Aptos"/>
                <w:b w:val="0"/>
                <w:color w:val="263238"/>
                <w:sz w:val="15"/>
              </w:rPr>
              <w:t>Viking and Anglo-Saxon struggle for England</w:t>
            </w:r>
          </w:p>
        </w:tc>
        <w:tc>
          <w:tcPr>
            <w:tcW w:type="dxa" w:w="388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Not present</w:t>
            </w:r>
          </w:p>
        </w:tc>
        <w:tc>
          <w:tcPr>
            <w:tcW w:type="dxa" w:w="18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To secure in future cycle</w:t>
            </w:r>
          </w:p>
        </w:tc>
      </w:tr>
      <w:tr>
        <w:trPr>
          <w:cantSplit/>
        </w:trPr>
        <w:tc>
          <w:tcPr>
            <w:tcW w:type="dxa" w:w="4320"/>
            <w:vAlign w:val="center"/>
            <w:tcMar>
              <w:top w:w="70" w:type="dxa"/>
              <w:start w:w="80" w:type="dxa"/>
              <w:bottom w:w="70" w:type="dxa"/>
              <w:end w:w="80" w:type="dxa"/>
            </w:tcMar>
          </w:tcPr>
          <w:p>
            <w:pPr>
              <w:spacing w:after="0" w:line="240" w:lineRule="auto"/>
            </w:pPr>
            <w:r/>
            <w:r>
              <w:rPr>
                <w:rFonts w:ascii="Aptos" w:hAnsi="Aptos"/>
                <w:b w:val="0"/>
                <w:color w:val="263238"/>
                <w:sz w:val="15"/>
              </w:rPr>
              <w:t>Achievements of earliest civilisations + one depth study</w:t>
            </w:r>
          </w:p>
        </w:tc>
        <w:tc>
          <w:tcPr>
            <w:tcW w:type="dxa" w:w="3888"/>
            <w:vAlign w:val="center"/>
            <w:tcMar>
              <w:top w:w="70" w:type="dxa"/>
              <w:start w:w="80" w:type="dxa"/>
              <w:bottom w:w="70" w:type="dxa"/>
              <w:end w:w="80" w:type="dxa"/>
            </w:tcMar>
          </w:tcPr>
          <w:p>
            <w:pPr>
              <w:spacing w:after="0" w:line="240" w:lineRule="auto"/>
            </w:pPr>
            <w:r/>
            <w:r>
              <w:rPr>
                <w:rFonts w:ascii="Aptos" w:hAnsi="Aptos"/>
                <w:b w:val="0"/>
                <w:color w:val="263238"/>
                <w:sz w:val="15"/>
              </w:rPr>
              <w:t>Not present</w:t>
            </w:r>
          </w:p>
        </w:tc>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5"/>
              </w:rPr>
              <w:t>To secure in future cycle</w:t>
            </w:r>
          </w:p>
        </w:tc>
      </w:tr>
      <w:tr>
        <w:trPr>
          <w:cantSplit/>
        </w:trPr>
        <w:tc>
          <w:tcPr>
            <w:tcW w:type="dxa" w:w="4320"/>
            <w:vAlign w:val="center"/>
            <w:tcMar>
              <w:top w:w="70" w:type="dxa"/>
              <w:start w:w="80" w:type="dxa"/>
              <w:bottom w:w="70" w:type="dxa"/>
              <w:end w:w="80" w:type="dxa"/>
            </w:tcMar>
            <w:shd w:fill="F7F8FA"/>
          </w:tcPr>
          <w:p>
            <w:pPr>
              <w:spacing w:after="0" w:line="240" w:lineRule="auto"/>
            </w:pPr>
            <w:r/>
            <w:r>
              <w:rPr>
                <w:rFonts w:ascii="Aptos" w:hAnsi="Aptos"/>
                <w:b w:val="0"/>
                <w:color w:val="263238"/>
                <w:sz w:val="15"/>
              </w:rPr>
              <w:t>Ancient Greece</w:t>
            </w:r>
          </w:p>
        </w:tc>
        <w:tc>
          <w:tcPr>
            <w:tcW w:type="dxa" w:w="388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Not present</w:t>
            </w:r>
          </w:p>
        </w:tc>
        <w:tc>
          <w:tcPr>
            <w:tcW w:type="dxa" w:w="18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To secure in future cycle</w:t>
            </w:r>
          </w:p>
        </w:tc>
      </w:tr>
      <w:tr>
        <w:trPr>
          <w:cantSplit/>
        </w:trPr>
        <w:tc>
          <w:tcPr>
            <w:tcW w:type="dxa" w:w="4320"/>
            <w:vAlign w:val="center"/>
            <w:tcMar>
              <w:top w:w="70" w:type="dxa"/>
              <w:start w:w="80" w:type="dxa"/>
              <w:bottom w:w="70" w:type="dxa"/>
              <w:end w:w="80" w:type="dxa"/>
            </w:tcMar>
          </w:tcPr>
          <w:p>
            <w:pPr>
              <w:spacing w:after="0" w:line="240" w:lineRule="auto"/>
            </w:pPr>
            <w:r/>
            <w:r>
              <w:rPr>
                <w:rFonts w:ascii="Aptos" w:hAnsi="Aptos"/>
                <w:b w:val="0"/>
                <w:color w:val="263238"/>
                <w:sz w:val="15"/>
              </w:rPr>
              <w:t>Non-European society contrasting with British history</w:t>
            </w:r>
          </w:p>
        </w:tc>
        <w:tc>
          <w:tcPr>
            <w:tcW w:type="dxa" w:w="3888"/>
            <w:vAlign w:val="center"/>
            <w:tcMar>
              <w:top w:w="70" w:type="dxa"/>
              <w:start w:w="80" w:type="dxa"/>
              <w:bottom w:w="70" w:type="dxa"/>
              <w:end w:w="80" w:type="dxa"/>
            </w:tcMar>
          </w:tcPr>
          <w:p>
            <w:pPr>
              <w:spacing w:after="0" w:line="240" w:lineRule="auto"/>
            </w:pPr>
            <w:r/>
            <w:r>
              <w:rPr>
                <w:rFonts w:ascii="Aptos" w:hAnsi="Aptos"/>
                <w:b w:val="0"/>
                <w:color w:val="263238"/>
                <w:sz w:val="15"/>
              </w:rPr>
              <w:t>Not present</w:t>
            </w:r>
          </w:p>
        </w:tc>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5"/>
              </w:rPr>
              <w:t>To secure in future cycle</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A33B3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BEAEA"/>
            <w:tcMar>
              <w:top w:w="90" w:type="dxa"/>
              <w:start w:w="110" w:type="dxa"/>
              <w:bottom w:w="90" w:type="dxa"/>
              <w:end w:w="110" w:type="dxa"/>
            </w:tcMar>
            <w:vAlign w:val="center"/>
          </w:tcPr>
          <w:p>
            <w:pPr>
              <w:spacing w:after="20"/>
            </w:pPr>
            <w:r/>
            <w:r>
              <w:rPr>
                <w:b/>
                <w:color w:val="A33B3B"/>
                <w:sz w:val="18"/>
              </w:rPr>
              <w:t xml:space="preserve">Subject-leader judgement  </w:t>
            </w:r>
            <w:r>
              <w:rPr>
                <w:color w:val="263238"/>
                <w:sz w:val="18"/>
              </w:rPr>
              <w:t>The selected 2026–27 units can be taught validly and ambitiously, but they do not constitute the whole statutory KS2 breadth on their own. Retain evidence of coverage from previous years where applicable and use the next curriculum design phase to secure all KS2 content across pupils’ complete journey.</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2B7A7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6F3F1"/>
            <w:tcMar>
              <w:top w:w="90" w:type="dxa"/>
              <w:start w:w="110" w:type="dxa"/>
              <w:bottom w:w="90" w:type="dxa"/>
              <w:end w:w="110" w:type="dxa"/>
            </w:tcMar>
            <w:vAlign w:val="center"/>
          </w:tcPr>
          <w:p>
            <w:pPr>
              <w:spacing w:after="20"/>
            </w:pPr>
            <w:r/>
            <w:r>
              <w:rPr>
                <w:b/>
                <w:color w:val="2B7A78"/>
                <w:sz w:val="18"/>
              </w:rPr>
              <w:t xml:space="preserve">Year 3 safeguard  </w:t>
            </w:r>
            <w:r>
              <w:rPr>
                <w:color w:val="263238"/>
                <w:sz w:val="18"/>
              </w:rPr>
              <w:t>Year 3 pupils join the lower mixed-age enquiry, but their objectives, vocabulary, source analysis and outcomes must meet KS2 demand. The unit pages below make this distinction explicit.</w:t>
            </w:r>
          </w:p>
        </w:tc>
      </w:tr>
    </w:tbl>
    <w:p>
      <w:pPr>
        <w:spacing w:after="0" w:lineRule="exact" w:line="40"/>
      </w:pPr>
    </w:p>
    <w:p>
      <w:r>
        <w:br w:type="page"/>
      </w:r>
    </w:p>
    <w:p>
      <w:pPr>
        <w:spacing w:after="60"/>
      </w:pPr>
      <w:r>
        <w:rPr>
          <w:rFonts w:ascii="Aptos" w:hAnsi="Aptos"/>
          <w:b/>
          <w:color w:val="D6A84B"/>
          <w:sz w:val="17"/>
        </w:rPr>
        <w:t>5 • SUBSTANTIVE PROGRESSION</w:t>
      </w:r>
    </w:p>
    <w:p>
      <w:pPr>
        <w:pStyle w:val="Title"/>
        <w:spacing w:after="100"/>
      </w:pPr>
      <w:r>
        <w:t>Recurring concepts that build connected knowledge</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1872"/>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Concept</w:t>
            </w:r>
          </w:p>
        </w:tc>
        <w:tc>
          <w:tcPr>
            <w:tcW w:type="dxa" w:w="266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Year 1–2 foundation</w:t>
            </w:r>
          </w:p>
        </w:tc>
        <w:tc>
          <w:tcPr>
            <w:tcW w:type="dxa" w:w="273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Year 3–4 development</w:t>
            </w:r>
          </w:p>
        </w:tc>
        <w:tc>
          <w:tcPr>
            <w:tcW w:type="dxa" w:w="2808"/>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Year 5–6 sophistication</w:t>
            </w:r>
          </w:p>
        </w:tc>
      </w:tr>
      <w:tr>
        <w:trPr>
          <w:cantSplit/>
        </w:trPr>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4"/>
              </w:rPr>
              <w:t>Community &amp; belonging</w:t>
            </w:r>
          </w:p>
        </w:tc>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4"/>
              </w:rPr>
              <w:t>Family, school, Chipping; local landmarks and memories</w:t>
            </w:r>
          </w:p>
        </w:tc>
        <w:tc>
          <w:tcPr>
            <w:tcW w:type="dxa" w:w="2736"/>
            <w:vAlign w:val="center"/>
            <w:tcMar>
              <w:top w:w="70" w:type="dxa"/>
              <w:start w:w="80" w:type="dxa"/>
              <w:bottom w:w="70" w:type="dxa"/>
              <w:end w:w="80" w:type="dxa"/>
            </w:tcMar>
          </w:tcPr>
          <w:p>
            <w:pPr>
              <w:spacing w:after="0" w:line="240" w:lineRule="auto"/>
            </w:pPr>
            <w:r/>
            <w:r>
              <w:rPr>
                <w:rFonts w:ascii="Aptos" w:hAnsi="Aptos"/>
                <w:b w:val="0"/>
                <w:color w:val="263238"/>
                <w:sz w:val="14"/>
              </w:rPr>
              <w:t>Community changes over time; belonging can be affected by decisions and movement</w:t>
            </w:r>
          </w:p>
        </w:tc>
        <w:tc>
          <w:tcPr>
            <w:tcW w:type="dxa" w:w="2808"/>
            <w:vAlign w:val="center"/>
            <w:tcMar>
              <w:top w:w="70" w:type="dxa"/>
              <w:start w:w="80" w:type="dxa"/>
              <w:bottom w:w="70" w:type="dxa"/>
              <w:end w:w="80" w:type="dxa"/>
            </w:tcMar>
          </w:tcPr>
          <w:p>
            <w:pPr>
              <w:spacing w:after="0" w:line="240" w:lineRule="auto"/>
            </w:pPr>
            <w:r/>
            <w:r>
              <w:rPr>
                <w:rFonts w:ascii="Aptos" w:hAnsi="Aptos"/>
                <w:b w:val="0"/>
                <w:color w:val="263238"/>
                <w:sz w:val="14"/>
              </w:rPr>
              <w:t>Compare belonging in wartime, trade networks and social change; recognise varied experience</w:t>
            </w:r>
          </w:p>
        </w:tc>
      </w:tr>
      <w:tr>
        <w:trPr>
          <w:cantSplit/>
        </w:trPr>
        <w:tc>
          <w:tcPr>
            <w:tcW w:type="dxa" w:w="1872"/>
            <w:vAlign w:val="center"/>
            <w:tcMar>
              <w:top w:w="70" w:type="dxa"/>
              <w:start w:w="80" w:type="dxa"/>
              <w:bottom w:w="70" w:type="dxa"/>
              <w:end w:w="80" w:type="dxa"/>
            </w:tcMar>
            <w:shd w:fill="F7F8FA"/>
          </w:tcPr>
          <w:p>
            <w:pPr>
              <w:spacing w:after="0" w:line="240" w:lineRule="auto"/>
            </w:pPr>
            <w:r/>
            <w:r>
              <w:rPr>
                <w:rFonts w:ascii="Aptos" w:hAnsi="Aptos"/>
                <w:b w:val="0"/>
                <w:color w:val="263238"/>
                <w:sz w:val="14"/>
              </w:rPr>
              <w:t>Power &amp; governance</w:t>
            </w:r>
          </w:p>
        </w:tc>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4"/>
              </w:rPr>
              <w:t>Kings, rules, Parliament and simple reasons for decisions</w:t>
            </w:r>
          </w:p>
        </w:tc>
        <w:tc>
          <w:tcPr>
            <w:tcW w:type="dxa" w:w="2736"/>
            <w:vAlign w:val="center"/>
            <w:tcMar>
              <w:top w:w="70" w:type="dxa"/>
              <w:start w:w="80" w:type="dxa"/>
              <w:bottom w:w="70" w:type="dxa"/>
              <w:end w:w="80" w:type="dxa"/>
            </w:tcMar>
            <w:shd w:fill="F7F8FA"/>
          </w:tcPr>
          <w:p>
            <w:pPr>
              <w:spacing w:after="0" w:line="240" w:lineRule="auto"/>
            </w:pPr>
            <w:r/>
            <w:r>
              <w:rPr>
                <w:rFonts w:ascii="Aptos" w:hAnsi="Aptos"/>
                <w:b w:val="0"/>
                <w:color w:val="263238"/>
                <w:sz w:val="14"/>
              </w:rPr>
              <w:t>Authority, belief, law and conflict; actions have multiple causes</w:t>
            </w:r>
          </w:p>
        </w:tc>
        <w:tc>
          <w:tcPr>
            <w:tcW w:type="dxa" w:w="2808"/>
            <w:vAlign w:val="center"/>
            <w:tcMar>
              <w:top w:w="70" w:type="dxa"/>
              <w:start w:w="80" w:type="dxa"/>
              <w:bottom w:w="70" w:type="dxa"/>
              <w:end w:w="80" w:type="dxa"/>
            </w:tcMar>
            <w:shd w:fill="F7F8FA"/>
          </w:tcPr>
          <w:p>
            <w:pPr>
              <w:spacing w:after="0" w:line="240" w:lineRule="auto"/>
            </w:pPr>
            <w:r/>
            <w:r>
              <w:rPr>
                <w:rFonts w:ascii="Aptos" w:hAnsi="Aptos"/>
                <w:b w:val="0"/>
                <w:color w:val="263238"/>
                <w:sz w:val="14"/>
              </w:rPr>
              <w:t>Government policy, institutions, power relationships and intended/unintended consequences</w:t>
            </w:r>
          </w:p>
        </w:tc>
      </w:tr>
      <w:tr>
        <w:trPr>
          <w:cantSplit/>
        </w:trPr>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4"/>
              </w:rPr>
              <w:t>Conflict</w:t>
            </w:r>
          </w:p>
        </w:tc>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4"/>
              </w:rPr>
              <w:t>Disagreement and the Gunpowder Plot; safe distinction between commemoration and event</w:t>
            </w:r>
          </w:p>
        </w:tc>
        <w:tc>
          <w:tcPr>
            <w:tcW w:type="dxa" w:w="2736"/>
            <w:vAlign w:val="center"/>
            <w:tcMar>
              <w:top w:w="70" w:type="dxa"/>
              <w:start w:w="80" w:type="dxa"/>
              <w:bottom w:w="70" w:type="dxa"/>
              <w:end w:w="80" w:type="dxa"/>
            </w:tcMar>
          </w:tcPr>
          <w:p>
            <w:pPr>
              <w:spacing w:after="0" w:line="240" w:lineRule="auto"/>
            </w:pPr>
            <w:r/>
            <w:r>
              <w:rPr>
                <w:rFonts w:ascii="Aptos" w:hAnsi="Aptos"/>
                <w:b w:val="0"/>
                <w:color w:val="263238"/>
                <w:sz w:val="14"/>
              </w:rPr>
              <w:t>Religious/political tension; cause and consequence over time</w:t>
            </w:r>
          </w:p>
        </w:tc>
        <w:tc>
          <w:tcPr>
            <w:tcW w:type="dxa" w:w="2808"/>
            <w:vAlign w:val="center"/>
            <w:tcMar>
              <w:top w:w="70" w:type="dxa"/>
              <w:start w:w="80" w:type="dxa"/>
              <w:bottom w:w="70" w:type="dxa"/>
              <w:end w:w="80" w:type="dxa"/>
            </w:tcMar>
          </w:tcPr>
          <w:p>
            <w:pPr>
              <w:spacing w:after="0" w:line="240" w:lineRule="auto"/>
            </w:pPr>
            <w:r/>
            <w:r>
              <w:rPr>
                <w:rFonts w:ascii="Aptos" w:hAnsi="Aptos"/>
                <w:b w:val="0"/>
                <w:color w:val="263238"/>
                <w:sz w:val="14"/>
              </w:rPr>
              <w:t>Civilian experience, propaganda, policy and differing perspectives during war</w:t>
            </w:r>
          </w:p>
        </w:tc>
      </w:tr>
      <w:tr>
        <w:trPr>
          <w:cantSplit/>
        </w:trPr>
        <w:tc>
          <w:tcPr>
            <w:tcW w:type="dxa" w:w="1872"/>
            <w:vAlign w:val="center"/>
            <w:tcMar>
              <w:top w:w="70" w:type="dxa"/>
              <w:start w:w="80" w:type="dxa"/>
              <w:bottom w:w="70" w:type="dxa"/>
              <w:end w:w="80" w:type="dxa"/>
            </w:tcMar>
            <w:shd w:fill="F7F8FA"/>
          </w:tcPr>
          <w:p>
            <w:pPr>
              <w:spacing w:after="0" w:line="240" w:lineRule="auto"/>
            </w:pPr>
            <w:r/>
            <w:r>
              <w:rPr>
                <w:rFonts w:ascii="Aptos" w:hAnsi="Aptos"/>
                <w:b w:val="0"/>
                <w:color w:val="263238"/>
                <w:sz w:val="14"/>
              </w:rPr>
              <w:t>Trade &amp; movement</w:t>
            </w:r>
          </w:p>
        </w:tc>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4"/>
              </w:rPr>
              <w:t>Objects/materials come from different places; people move</w:t>
            </w:r>
          </w:p>
        </w:tc>
        <w:tc>
          <w:tcPr>
            <w:tcW w:type="dxa" w:w="2736"/>
            <w:vAlign w:val="center"/>
            <w:tcMar>
              <w:top w:w="70" w:type="dxa"/>
              <w:start w:w="80" w:type="dxa"/>
              <w:bottom w:w="70" w:type="dxa"/>
              <w:end w:w="80" w:type="dxa"/>
            </w:tcMar>
            <w:shd w:fill="F7F8FA"/>
          </w:tcPr>
          <w:p>
            <w:pPr>
              <w:spacing w:after="0" w:line="240" w:lineRule="auto"/>
            </w:pPr>
            <w:r/>
            <w:r>
              <w:rPr>
                <w:rFonts w:ascii="Aptos" w:hAnsi="Aptos"/>
                <w:b w:val="0"/>
                <w:color w:val="263238"/>
                <w:sz w:val="14"/>
              </w:rPr>
              <w:t>Exchange links communities; movement produces change</w:t>
            </w:r>
          </w:p>
        </w:tc>
        <w:tc>
          <w:tcPr>
            <w:tcW w:type="dxa" w:w="2808"/>
            <w:vAlign w:val="center"/>
            <w:tcMar>
              <w:top w:w="70" w:type="dxa"/>
              <w:start w:w="80" w:type="dxa"/>
              <w:bottom w:w="70" w:type="dxa"/>
              <w:end w:w="80" w:type="dxa"/>
            </w:tcMar>
            <w:shd w:fill="F7F8FA"/>
          </w:tcPr>
          <w:p>
            <w:pPr>
              <w:spacing w:after="0" w:line="240" w:lineRule="auto"/>
            </w:pPr>
            <w:r/>
            <w:r>
              <w:rPr>
                <w:rFonts w:ascii="Aptos" w:hAnsi="Aptos"/>
                <w:b w:val="0"/>
                <w:color w:val="263238"/>
                <w:sz w:val="14"/>
              </w:rPr>
              <w:t>Trade networks, commodities, empire/industry where relevant, winners and losers</w:t>
            </w:r>
          </w:p>
        </w:tc>
      </w:tr>
      <w:tr>
        <w:trPr>
          <w:cantSplit/>
        </w:trPr>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4"/>
              </w:rPr>
              <w:t>Technology &amp; knowledge</w:t>
            </w:r>
          </w:p>
        </w:tc>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4"/>
              </w:rPr>
              <w:t>Toys change because materials, ideas and making change</w:t>
            </w:r>
          </w:p>
        </w:tc>
        <w:tc>
          <w:tcPr>
            <w:tcW w:type="dxa" w:w="2736"/>
            <w:vAlign w:val="center"/>
            <w:tcMar>
              <w:top w:w="70" w:type="dxa"/>
              <w:start w:w="80" w:type="dxa"/>
              <w:bottom w:w="70" w:type="dxa"/>
              <w:end w:w="80" w:type="dxa"/>
            </w:tcMar>
          </w:tcPr>
          <w:p>
            <w:pPr>
              <w:spacing w:after="0" w:line="240" w:lineRule="auto"/>
            </w:pPr>
            <w:r/>
            <w:r>
              <w:rPr>
                <w:rFonts w:ascii="Aptos" w:hAnsi="Aptos"/>
                <w:b w:val="0"/>
                <w:color w:val="263238"/>
                <w:sz w:val="14"/>
              </w:rPr>
              <w:t>Innovation occurs in context and can alter daily life</w:t>
            </w:r>
          </w:p>
        </w:tc>
        <w:tc>
          <w:tcPr>
            <w:tcW w:type="dxa" w:w="2808"/>
            <w:vAlign w:val="center"/>
            <w:tcMar>
              <w:top w:w="70" w:type="dxa"/>
              <w:start w:w="80" w:type="dxa"/>
              <w:bottom w:w="70" w:type="dxa"/>
              <w:end w:w="80" w:type="dxa"/>
            </w:tcMar>
          </w:tcPr>
          <w:p>
            <w:pPr>
              <w:spacing w:after="0" w:line="240" w:lineRule="auto"/>
            </w:pPr>
            <w:r/>
            <w:r>
              <w:rPr>
                <w:rFonts w:ascii="Aptos" w:hAnsi="Aptos"/>
                <w:b w:val="0"/>
                <w:color w:val="263238"/>
                <w:sz w:val="14"/>
              </w:rPr>
              <w:t>Knowledge, production and communication interact; change is uneven and contested</w:t>
            </w:r>
          </w:p>
        </w:tc>
      </w:tr>
      <w:tr>
        <w:trPr>
          <w:cantSplit/>
        </w:trPr>
        <w:tc>
          <w:tcPr>
            <w:tcW w:type="dxa" w:w="1872"/>
            <w:vAlign w:val="center"/>
            <w:tcMar>
              <w:top w:w="70" w:type="dxa"/>
              <w:start w:w="80" w:type="dxa"/>
              <w:bottom w:w="70" w:type="dxa"/>
              <w:end w:w="80" w:type="dxa"/>
            </w:tcMar>
            <w:shd w:fill="F7F8FA"/>
          </w:tcPr>
          <w:p>
            <w:pPr>
              <w:spacing w:after="0" w:line="240" w:lineRule="auto"/>
            </w:pPr>
            <w:r/>
            <w:r>
              <w:rPr>
                <w:rFonts w:ascii="Aptos" w:hAnsi="Aptos"/>
                <w:b w:val="0"/>
                <w:color w:val="263238"/>
                <w:sz w:val="14"/>
              </w:rPr>
              <w:t>Change &amp; legacy</w:t>
            </w:r>
          </w:p>
        </w:tc>
        <w:tc>
          <w:tcPr>
            <w:tcW w:type="dxa" w:w="2664"/>
            <w:vAlign w:val="center"/>
            <w:tcMar>
              <w:top w:w="70" w:type="dxa"/>
              <w:start w:w="80" w:type="dxa"/>
              <w:bottom w:w="70" w:type="dxa"/>
              <w:end w:w="80" w:type="dxa"/>
            </w:tcMar>
            <w:shd w:fill="F7F8FA"/>
          </w:tcPr>
          <w:p>
            <w:pPr>
              <w:spacing w:after="0" w:line="240" w:lineRule="auto"/>
            </w:pPr>
            <w:r/>
            <w:r>
              <w:rPr>
                <w:rFonts w:ascii="Aptos" w:hAnsi="Aptos"/>
                <w:b w:val="0"/>
                <w:color w:val="263238"/>
                <w:sz w:val="14"/>
              </w:rPr>
              <w:t>Then/now; identify visible change and continuity</w:t>
            </w:r>
          </w:p>
        </w:tc>
        <w:tc>
          <w:tcPr>
            <w:tcW w:type="dxa" w:w="2736"/>
            <w:vAlign w:val="center"/>
            <w:tcMar>
              <w:top w:w="70" w:type="dxa"/>
              <w:start w:w="80" w:type="dxa"/>
              <w:bottom w:w="70" w:type="dxa"/>
              <w:end w:w="80" w:type="dxa"/>
            </w:tcMar>
            <w:shd w:fill="F7F8FA"/>
          </w:tcPr>
          <w:p>
            <w:pPr>
              <w:spacing w:after="0" w:line="240" w:lineRule="auto"/>
            </w:pPr>
            <w:r/>
            <w:r>
              <w:rPr>
                <w:rFonts w:ascii="Aptos" w:hAnsi="Aptos"/>
                <w:b w:val="0"/>
                <w:color w:val="263238"/>
                <w:sz w:val="14"/>
              </w:rPr>
              <w:t>Explain pace, turning points and local legacy</w:t>
            </w:r>
          </w:p>
        </w:tc>
        <w:tc>
          <w:tcPr>
            <w:tcW w:type="dxa" w:w="2808"/>
            <w:vAlign w:val="center"/>
            <w:tcMar>
              <w:top w:w="70" w:type="dxa"/>
              <w:start w:w="80" w:type="dxa"/>
              <w:bottom w:w="70" w:type="dxa"/>
              <w:end w:w="80" w:type="dxa"/>
            </w:tcMar>
            <w:shd w:fill="F7F8FA"/>
          </w:tcPr>
          <w:p>
            <w:pPr>
              <w:spacing w:after="0" w:line="240" w:lineRule="auto"/>
            </w:pPr>
            <w:r/>
            <w:r>
              <w:rPr>
                <w:rFonts w:ascii="Aptos" w:hAnsi="Aptos"/>
                <w:b w:val="0"/>
                <w:color w:val="263238"/>
                <w:sz w:val="14"/>
              </w:rPr>
              <w:t>Judge extent and significance using criteria and evidence</w:t>
            </w:r>
          </w:p>
        </w:tc>
      </w:tr>
      <w:tr>
        <w:trPr>
          <w:cantSplit/>
        </w:trPr>
        <w:tc>
          <w:tcPr>
            <w:tcW w:type="dxa" w:w="1872"/>
            <w:vAlign w:val="center"/>
            <w:tcMar>
              <w:top w:w="70" w:type="dxa"/>
              <w:start w:w="80" w:type="dxa"/>
              <w:bottom w:w="70" w:type="dxa"/>
              <w:end w:w="80" w:type="dxa"/>
            </w:tcMar>
          </w:tcPr>
          <w:p>
            <w:pPr>
              <w:spacing w:after="0" w:line="240" w:lineRule="auto"/>
            </w:pPr>
            <w:r/>
            <w:r>
              <w:rPr>
                <w:rFonts w:ascii="Aptos" w:hAnsi="Aptos"/>
                <w:b w:val="0"/>
                <w:color w:val="263238"/>
                <w:sz w:val="14"/>
              </w:rPr>
              <w:t>Diversity &amp; voice</w:t>
            </w:r>
          </w:p>
        </w:tc>
        <w:tc>
          <w:tcPr>
            <w:tcW w:type="dxa" w:w="2664"/>
            <w:vAlign w:val="center"/>
            <w:tcMar>
              <w:top w:w="70" w:type="dxa"/>
              <w:start w:w="80" w:type="dxa"/>
              <w:bottom w:w="70" w:type="dxa"/>
              <w:end w:w="80" w:type="dxa"/>
            </w:tcMar>
          </w:tcPr>
          <w:p>
            <w:pPr>
              <w:spacing w:after="0" w:line="240" w:lineRule="auto"/>
            </w:pPr>
            <w:r/>
            <w:r>
              <w:rPr>
                <w:rFonts w:ascii="Aptos" w:hAnsi="Aptos"/>
                <w:b w:val="0"/>
                <w:color w:val="263238"/>
                <w:sz w:val="14"/>
              </w:rPr>
              <w:t>People in the past were not all the same; listen for different stories</w:t>
            </w:r>
          </w:p>
        </w:tc>
        <w:tc>
          <w:tcPr>
            <w:tcW w:type="dxa" w:w="2736"/>
            <w:vAlign w:val="center"/>
            <w:tcMar>
              <w:top w:w="70" w:type="dxa"/>
              <w:start w:w="80" w:type="dxa"/>
              <w:bottom w:w="70" w:type="dxa"/>
              <w:end w:w="80" w:type="dxa"/>
            </w:tcMar>
          </w:tcPr>
          <w:p>
            <w:pPr>
              <w:spacing w:after="0" w:line="240" w:lineRule="auto"/>
            </w:pPr>
            <w:r/>
            <w:r>
              <w:rPr>
                <w:rFonts w:ascii="Aptos" w:hAnsi="Aptos"/>
                <w:b w:val="0"/>
                <w:color w:val="263238"/>
                <w:sz w:val="14"/>
              </w:rPr>
              <w:t>Ask whose voice is present or absent</w:t>
            </w:r>
          </w:p>
        </w:tc>
        <w:tc>
          <w:tcPr>
            <w:tcW w:type="dxa" w:w="2808"/>
            <w:vAlign w:val="center"/>
            <w:tcMar>
              <w:top w:w="70" w:type="dxa"/>
              <w:start w:w="80" w:type="dxa"/>
              <w:bottom w:w="70" w:type="dxa"/>
              <w:end w:w="80" w:type="dxa"/>
            </w:tcMar>
          </w:tcPr>
          <w:p>
            <w:pPr>
              <w:spacing w:after="0" w:line="240" w:lineRule="auto"/>
            </w:pPr>
            <w:r/>
            <w:r>
              <w:rPr>
                <w:rFonts w:ascii="Aptos" w:hAnsi="Aptos"/>
                <w:b w:val="0"/>
                <w:color w:val="263238"/>
                <w:sz w:val="14"/>
              </w:rPr>
              <w:t>Compare experience by place, age, class, identity and circumstance; handle silence cautiously</w:t>
            </w:r>
          </w:p>
        </w:tc>
      </w:tr>
    </w:tbl>
    <w:p>
      <w:pPr>
        <w:spacing w:after="0" w:lineRule="exact" w:line="40"/>
      </w:pPr>
    </w:p>
    <w:p>
      <w:pPr>
        <w:pStyle w:val="Heading2"/>
      </w:pPr>
      <w:r>
        <w:t>How substantive knowledge is secured</w:t>
      </w:r>
    </w:p>
    <w:p>
      <w:pPr>
        <w:pStyle w:val="ListBullet"/>
        <w:spacing w:after="40"/>
        <w:ind w:left="317" w:hanging="187"/>
      </w:pPr>
      <w:r>
        <w:t>Begin each unit with a short chronological orientation and a carefully chosen core narrative.</w:t>
      </w:r>
    </w:p>
    <w:p>
      <w:pPr>
        <w:pStyle w:val="ListBullet"/>
        <w:spacing w:after="40"/>
        <w:ind w:left="317" w:hanging="187"/>
      </w:pPr>
      <w:r>
        <w:t>Identify a small number of essential facts, dates, people, places and vocabulary for long-term retention.</w:t>
      </w:r>
    </w:p>
    <w:p>
      <w:pPr>
        <w:pStyle w:val="ListBullet"/>
        <w:spacing w:after="40"/>
        <w:ind w:left="317" w:hanging="187"/>
      </w:pPr>
      <w:r>
        <w:t>Revisit the golden threads explicitly: ‘Where have we met power/movement/change before?’</w:t>
      </w:r>
    </w:p>
    <w:p>
      <w:pPr>
        <w:pStyle w:val="ListBullet"/>
        <w:spacing w:after="40"/>
        <w:ind w:left="317" w:hanging="187"/>
      </w:pPr>
      <w:r>
        <w:t>Use timelines, maps, artefacts, images and texts to connect detail to a wider story.</w:t>
      </w:r>
    </w:p>
    <w:p>
      <w:pPr>
        <w:pStyle w:val="ListBullet"/>
        <w:spacing w:after="40"/>
        <w:ind w:left="317" w:hanging="187"/>
      </w:pPr>
      <w:r>
        <w:t>Check cumulative knowledge through low-stakes retrieval, discussion and final enquiry outcomes.</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Avoid isolated facts  </w:t>
            </w:r>
            <w:r>
              <w:rPr>
                <w:color w:val="263238"/>
                <w:sz w:val="18"/>
              </w:rPr>
              <w:t>A pupil has not secured substantive knowledge merely by recalling a date. They should connect that date to people, place, period, cause, consequence and the unit’s wider historical meaning.</w:t>
            </w:r>
          </w:p>
        </w:tc>
      </w:tr>
    </w:tbl>
    <w:p>
      <w:pPr>
        <w:spacing w:after="0" w:lineRule="exact" w:line="40"/>
      </w:pPr>
    </w:p>
    <w:p>
      <w:r>
        <w:br w:type="page"/>
      </w:r>
    </w:p>
    <w:p>
      <w:pPr>
        <w:spacing w:after="60"/>
      </w:pPr>
      <w:r>
        <w:rPr>
          <w:rFonts w:ascii="Aptos" w:hAnsi="Aptos"/>
          <w:b/>
          <w:color w:val="D6A84B"/>
          <w:sz w:val="17"/>
        </w:rPr>
        <w:t>6 • DISCIPLINARY PROGRESSION</w:t>
      </w:r>
    </w:p>
    <w:p>
      <w:pPr>
        <w:pStyle w:val="Title"/>
        <w:spacing w:after="100"/>
      </w:pPr>
      <w:r>
        <w:t>Chronology • cause and consequence</w:t>
      </w:r>
    </w:p>
    <w:p>
      <w:pPr>
        <w:pStyle w:val="Heading2"/>
      </w:pPr>
      <w:r>
        <w:t>Chronology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Use past/present and before/after; place a few familiar objects or events in order.</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Use dates and common time language; place studied events on a simple timeline and recognise duration.</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Place events and periods on a scaled timeline; use decade, century, AD/CE and sequence links across units.</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overlap, interval and duration; relate the study to a broader British chronology.</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Use precise dates and period language; identify concurrent developments and trends.</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Construct and use chronological frameworks independently; make supported connections and contrasts across periods.</w:t>
            </w:r>
          </w:p>
        </w:tc>
      </w:tr>
    </w:tbl>
    <w:p>
      <w:pPr>
        <w:spacing w:after="0" w:lineRule="exact" w:line="40"/>
      </w:pPr>
    </w:p>
    <w:p>
      <w:pPr>
        <w:pStyle w:val="Heading2"/>
      </w:pPr>
      <w:r>
        <w:t>Cause and consequence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Give a simple reason why an event happened and identify one result.</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Recognise that an event may have more than one cause or consequence; use because/therefore.</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Group causes or consequences, for example belief, politics, technology or individual action.</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Distinguish longer-term conditions from triggers and intended from unintended consequences.</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Explain how causes interact and rank them using evidence; trace short- and longer-term effects.</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Form a balanced causal argument, testing relative importance and recognising contingency.</w:t>
            </w:r>
          </w:p>
        </w:tc>
      </w:tr>
    </w:tbl>
    <w:p>
      <w:pPr>
        <w:spacing w:after="0" w:lineRule="exact" w:line="40"/>
      </w:pPr>
    </w:p>
    <w:p>
      <w:pPr>
        <w:pStyle w:val="Heading2"/>
      </w:pPr>
      <w:r>
        <w:t>Planned application</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201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5"/>
              </w:rPr>
              <w:t>Unit</w:t>
            </w:r>
          </w:p>
        </w:tc>
        <w:tc>
          <w:tcPr>
            <w:tcW w:type="dxa" w:w="3888"/>
            <w:vAlign w:val="center"/>
            <w:tcMar>
              <w:top w:w="70" w:type="dxa"/>
              <w:start w:w="80" w:type="dxa"/>
              <w:bottom w:w="70" w:type="dxa"/>
              <w:end w:w="80" w:type="dxa"/>
            </w:tcMar>
            <w:shd w:fill="2B7A78"/>
          </w:tcPr>
          <w:p>
            <w:pPr>
              <w:spacing w:after="0" w:line="240" w:lineRule="auto"/>
              <w:jc w:val="center"/>
            </w:pPr>
            <w:r/>
            <w:r>
              <w:rPr>
                <w:rFonts w:ascii="Aptos" w:hAnsi="Aptos"/>
                <w:b/>
                <w:color w:val="FFFFFF"/>
                <w:sz w:val="15"/>
              </w:rPr>
              <w:t>Chronology application</w:t>
            </w:r>
          </w:p>
        </w:tc>
        <w:tc>
          <w:tcPr>
            <w:tcW w:type="dxa" w:w="417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5"/>
              </w:rPr>
              <w:t>Causal application</w:t>
            </w:r>
          </w:p>
        </w:tc>
      </w:tr>
      <w:tr>
        <w:trPr>
          <w:cantSplit/>
        </w:trPr>
        <w:tc>
          <w:tcPr>
            <w:tcW w:type="dxa" w:w="2016"/>
            <w:vAlign w:val="center"/>
            <w:tcMar>
              <w:top w:w="70" w:type="dxa"/>
              <w:start w:w="80" w:type="dxa"/>
              <w:bottom w:w="70" w:type="dxa"/>
              <w:end w:w="80" w:type="dxa"/>
            </w:tcMar>
          </w:tcPr>
          <w:p>
            <w:pPr>
              <w:spacing w:after="0" w:line="240" w:lineRule="auto"/>
            </w:pPr>
            <w:r/>
            <w:r>
              <w:rPr>
                <w:rFonts w:ascii="Aptos" w:hAnsi="Aptos"/>
                <w:b w:val="0"/>
                <w:color w:val="263238"/>
                <w:sz w:val="15"/>
              </w:rPr>
              <w:t>Gunpowder Plot</w:t>
            </w:r>
          </w:p>
        </w:tc>
        <w:tc>
          <w:tcPr>
            <w:tcW w:type="dxa" w:w="3888"/>
            <w:vAlign w:val="center"/>
            <w:tcMar>
              <w:top w:w="70" w:type="dxa"/>
              <w:start w:w="80" w:type="dxa"/>
              <w:bottom w:w="70" w:type="dxa"/>
              <w:end w:w="80" w:type="dxa"/>
            </w:tcMar>
          </w:tcPr>
          <w:p>
            <w:pPr>
              <w:spacing w:after="0" w:line="240" w:lineRule="auto"/>
            </w:pPr>
            <w:r/>
            <w:r>
              <w:rPr>
                <w:rFonts w:ascii="Aptos" w:hAnsi="Aptos"/>
                <w:b w:val="0"/>
                <w:color w:val="263238"/>
                <w:sz w:val="15"/>
              </w:rPr>
              <w:t>1603 → 1605 → aftermath and later commemoration</w:t>
            </w:r>
          </w:p>
        </w:tc>
        <w:tc>
          <w:tcPr>
            <w:tcW w:type="dxa" w:w="4176"/>
            <w:vAlign w:val="center"/>
            <w:tcMar>
              <w:top w:w="70" w:type="dxa"/>
              <w:start w:w="80" w:type="dxa"/>
              <w:bottom w:w="70" w:type="dxa"/>
              <w:end w:w="80" w:type="dxa"/>
            </w:tcMar>
          </w:tcPr>
          <w:p>
            <w:pPr>
              <w:spacing w:after="0" w:line="240" w:lineRule="auto"/>
            </w:pPr>
            <w:r/>
            <w:r>
              <w:rPr>
                <w:rFonts w:ascii="Aptos" w:hAnsi="Aptos"/>
                <w:b w:val="0"/>
                <w:color w:val="263238"/>
                <w:sz w:val="15"/>
              </w:rPr>
              <w:t>Belief, succession, law, planning, discovery and consequences</w:t>
            </w:r>
          </w:p>
        </w:tc>
      </w:tr>
      <w:tr>
        <w:trPr>
          <w:cantSplit/>
        </w:trPr>
        <w:tc>
          <w:tcPr>
            <w:tcW w:type="dxa" w:w="201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Evacuees</w:t>
            </w:r>
          </w:p>
        </w:tc>
        <w:tc>
          <w:tcPr>
            <w:tcW w:type="dxa" w:w="388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1939–45; phases of evacuation</w:t>
            </w:r>
          </w:p>
        </w:tc>
        <w:tc>
          <w:tcPr>
            <w:tcW w:type="dxa" w:w="417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War, bombing risk, government policy and consequences for childhood</w:t>
            </w:r>
          </w:p>
        </w:tc>
      </w:tr>
      <w:tr>
        <w:trPr>
          <w:cantSplit/>
        </w:trPr>
        <w:tc>
          <w:tcPr>
            <w:tcW w:type="dxa" w:w="2016"/>
            <w:vAlign w:val="center"/>
            <w:tcMar>
              <w:top w:w="70" w:type="dxa"/>
              <w:start w:w="80" w:type="dxa"/>
              <w:bottom w:w="70" w:type="dxa"/>
              <w:end w:w="80" w:type="dxa"/>
            </w:tcMar>
          </w:tcPr>
          <w:p>
            <w:pPr>
              <w:spacing w:after="0" w:line="240" w:lineRule="auto"/>
            </w:pPr>
            <w:r/>
            <w:r>
              <w:rPr>
                <w:rFonts w:ascii="Aptos" w:hAnsi="Aptos"/>
                <w:b w:val="0"/>
                <w:color w:val="263238"/>
                <w:sz w:val="15"/>
              </w:rPr>
              <w:t>Trade</w:t>
            </w:r>
          </w:p>
        </w:tc>
        <w:tc>
          <w:tcPr>
            <w:tcW w:type="dxa" w:w="3888"/>
            <w:vAlign w:val="center"/>
            <w:tcMar>
              <w:top w:w="70" w:type="dxa"/>
              <w:start w:w="80" w:type="dxa"/>
              <w:bottom w:w="70" w:type="dxa"/>
              <w:end w:w="80" w:type="dxa"/>
            </w:tcMar>
          </w:tcPr>
          <w:p>
            <w:pPr>
              <w:spacing w:after="0" w:line="240" w:lineRule="auto"/>
            </w:pPr>
            <w:r/>
            <w:r>
              <w:rPr>
                <w:rFonts w:ascii="Aptos" w:hAnsi="Aptos"/>
                <w:b w:val="0"/>
                <w:color w:val="263238"/>
                <w:sz w:val="15"/>
              </w:rPr>
              <w:t>Trace selected changes over a defined period</w:t>
            </w:r>
          </w:p>
        </w:tc>
        <w:tc>
          <w:tcPr>
            <w:tcW w:type="dxa" w:w="4176"/>
            <w:vAlign w:val="center"/>
            <w:tcMar>
              <w:top w:w="70" w:type="dxa"/>
              <w:start w:w="80" w:type="dxa"/>
              <w:bottom w:w="70" w:type="dxa"/>
              <w:end w:w="80" w:type="dxa"/>
            </w:tcMar>
          </w:tcPr>
          <w:p>
            <w:pPr>
              <w:spacing w:after="0" w:line="240" w:lineRule="auto"/>
            </w:pPr>
            <w:r/>
            <w:r>
              <w:rPr>
                <w:rFonts w:ascii="Aptos" w:hAnsi="Aptos"/>
                <w:b w:val="0"/>
                <w:color w:val="263238"/>
                <w:sz w:val="15"/>
              </w:rPr>
              <w:t>Technology, demand, policy, power and movement</w:t>
            </w:r>
          </w:p>
        </w:tc>
      </w:tr>
    </w:tbl>
    <w:p>
      <w:pPr>
        <w:spacing w:after="0" w:lineRule="exact" w:line="40"/>
      </w:pPr>
    </w:p>
    <w:p>
      <w:r>
        <w:br w:type="page"/>
      </w:r>
    </w:p>
    <w:p>
      <w:pPr>
        <w:spacing w:after="60"/>
      </w:pPr>
      <w:r>
        <w:rPr>
          <w:rFonts w:ascii="Aptos" w:hAnsi="Aptos"/>
          <w:b/>
          <w:color w:val="D6A84B"/>
          <w:sz w:val="17"/>
        </w:rPr>
        <w:t>7 • DISCIPLINARY PROGRESSION</w:t>
      </w:r>
    </w:p>
    <w:p>
      <w:pPr>
        <w:pStyle w:val="Title"/>
        <w:spacing w:after="100"/>
      </w:pPr>
      <w:r>
        <w:t>Change and continuity • similarity and difference</w:t>
      </w:r>
    </w:p>
    <w:p>
      <w:pPr>
        <w:pStyle w:val="Heading2"/>
      </w:pPr>
      <w:r>
        <w:t>Change and continuity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Spot a simple change and something that stayed the same.</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Describe changes using before/after and identify that change can happen at different times.</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Describe the nature and pace of change; use evidence to identify continuity.</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turning points and why change affected groups differently.</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Trace a development over time and judge the extent of change using criteria.</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Analyse patterns, pace and complexity; distinguish change in one sphere from continuity in another.</w:t>
            </w:r>
          </w:p>
        </w:tc>
      </w:tr>
    </w:tbl>
    <w:p>
      <w:pPr>
        <w:spacing w:after="0" w:lineRule="exact" w:line="40"/>
      </w:pPr>
    </w:p>
    <w:p>
      <w:pPr>
        <w:pStyle w:val="Heading2"/>
      </w:pPr>
      <w:r>
        <w:t>Similarity and difference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Identify a simple similarity or difference between then and now.</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Compare objects, people or experiences using specific features.</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Compare across time or place and support observations with evidence.</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why experiences differed between groups and avoid assuming everyone lived alike.</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Select meaningful criteria and compare patterns across social, economic or cultural contexts.</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Construct a nuanced comparison, accounting for diversity within groups and limitations of evidence.</w:t>
            </w:r>
          </w:p>
        </w:tc>
      </w:tr>
    </w:tbl>
    <w:p>
      <w:pPr>
        <w:spacing w:after="0" w:lineRule="exact" w:line="40"/>
      </w:pPr>
    </w:p>
    <w:p>
      <w:pPr>
        <w:pStyle w:val="Heading2"/>
      </w:pPr>
      <w:r>
        <w:t>Planned application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94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Unit</w:t>
            </w:r>
          </w:p>
        </w:tc>
        <w:tc>
          <w:tcPr>
            <w:tcW w:type="dxa" w:w="813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Key comparison or pattern</w:t>
            </w:r>
          </w:p>
        </w:tc>
      </w:tr>
      <w:tr>
        <w:trPr>
          <w:cantSplit/>
        </w:trPr>
        <w:tc>
          <w:tcPr>
            <w:tcW w:type="dxa" w:w="1944"/>
            <w:vAlign w:val="center"/>
            <w:tcMar>
              <w:top w:w="70" w:type="dxa"/>
              <w:start w:w="80" w:type="dxa"/>
              <w:bottom w:w="70" w:type="dxa"/>
              <w:end w:w="80" w:type="dxa"/>
            </w:tcMar>
          </w:tcPr>
          <w:p>
            <w:pPr>
              <w:spacing w:after="0" w:line="240" w:lineRule="auto"/>
            </w:pPr>
            <w:r/>
            <w:r>
              <w:rPr>
                <w:rFonts w:ascii="Aptos" w:hAnsi="Aptos"/>
                <w:b w:val="0"/>
                <w:color w:val="263238"/>
                <w:sz w:val="16"/>
              </w:rPr>
              <w:t>Toys</w:t>
            </w:r>
          </w:p>
        </w:tc>
        <w:tc>
          <w:tcPr>
            <w:tcW w:type="dxa" w:w="8136"/>
            <w:vAlign w:val="center"/>
            <w:tcMar>
              <w:top w:w="70" w:type="dxa"/>
              <w:start w:w="80" w:type="dxa"/>
              <w:bottom w:w="70" w:type="dxa"/>
              <w:end w:w="80" w:type="dxa"/>
            </w:tcMar>
          </w:tcPr>
          <w:p>
            <w:pPr>
              <w:spacing w:after="0" w:line="240" w:lineRule="auto"/>
            </w:pPr>
            <w:r/>
            <w:r>
              <w:rPr>
                <w:rFonts w:ascii="Aptos" w:hAnsi="Aptos"/>
                <w:b w:val="0"/>
                <w:color w:val="263238"/>
                <w:sz w:val="16"/>
              </w:rPr>
              <w:t>Materials, mechanisms, access and play: change is not the same as ‘better’.</w:t>
            </w:r>
          </w:p>
        </w:tc>
      </w:tr>
      <w:tr>
        <w:trPr>
          <w:cantSplit/>
        </w:trPr>
        <w:tc>
          <w:tcPr>
            <w:tcW w:type="dxa" w:w="194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Chipping</w:t>
            </w:r>
          </w:p>
        </w:tc>
        <w:tc>
          <w:tcPr>
            <w:tcW w:type="dxa" w:w="813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Landscape, buildings and land use: visible change alongside enduring community features.</w:t>
            </w:r>
          </w:p>
        </w:tc>
      </w:tr>
      <w:tr>
        <w:trPr>
          <w:cantSplit/>
        </w:trPr>
        <w:tc>
          <w:tcPr>
            <w:tcW w:type="dxa" w:w="1944"/>
            <w:vAlign w:val="center"/>
            <w:tcMar>
              <w:top w:w="70" w:type="dxa"/>
              <w:start w:w="80" w:type="dxa"/>
              <w:bottom w:w="70" w:type="dxa"/>
              <w:end w:w="80" w:type="dxa"/>
            </w:tcMar>
          </w:tcPr>
          <w:p>
            <w:pPr>
              <w:spacing w:after="0" w:line="240" w:lineRule="auto"/>
            </w:pPr>
            <w:r/>
            <w:r>
              <w:rPr>
                <w:rFonts w:ascii="Aptos" w:hAnsi="Aptos"/>
                <w:b w:val="0"/>
                <w:color w:val="263238"/>
                <w:sz w:val="16"/>
              </w:rPr>
              <w:t>Evacuees</w:t>
            </w:r>
          </w:p>
        </w:tc>
        <w:tc>
          <w:tcPr>
            <w:tcW w:type="dxa" w:w="8136"/>
            <w:vAlign w:val="center"/>
            <w:tcMar>
              <w:top w:w="70" w:type="dxa"/>
              <w:start w:w="80" w:type="dxa"/>
              <w:bottom w:w="70" w:type="dxa"/>
              <w:end w:w="80" w:type="dxa"/>
            </w:tcMar>
          </w:tcPr>
          <w:p>
            <w:pPr>
              <w:spacing w:after="0" w:line="240" w:lineRule="auto"/>
            </w:pPr>
            <w:r/>
            <w:r>
              <w:rPr>
                <w:rFonts w:ascii="Aptos" w:hAnsi="Aptos"/>
                <w:b w:val="0"/>
                <w:color w:val="263238"/>
                <w:sz w:val="16"/>
              </w:rPr>
              <w:t>Experience differed by child, location, family, host household and source perspective.</w:t>
            </w:r>
          </w:p>
        </w:tc>
      </w:tr>
      <w:tr>
        <w:trPr>
          <w:cantSplit/>
        </w:trPr>
        <w:tc>
          <w:tcPr>
            <w:tcW w:type="dxa" w:w="194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Trade</w:t>
            </w:r>
          </w:p>
        </w:tc>
        <w:tc>
          <w:tcPr>
            <w:tcW w:type="dxa" w:w="813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Benefits and harms were distributed unevenly; Britain’s connections changed over time.</w:t>
            </w:r>
          </w:p>
        </w:tc>
      </w:tr>
    </w:tbl>
    <w:p>
      <w:pPr>
        <w:spacing w:after="0" w:lineRule="exact" w:line="40"/>
      </w:pPr>
    </w:p>
    <w:p>
      <w:r>
        <w:br w:type="page"/>
      </w:r>
    </w:p>
    <w:p>
      <w:pPr>
        <w:spacing w:after="60"/>
      </w:pPr>
      <w:r>
        <w:rPr>
          <w:rFonts w:ascii="Aptos" w:hAnsi="Aptos"/>
          <w:b/>
          <w:color w:val="D6A84B"/>
          <w:sz w:val="17"/>
        </w:rPr>
        <w:t>8 • DISCIPLINARY PROGRESSION</w:t>
      </w:r>
    </w:p>
    <w:p>
      <w:pPr>
        <w:pStyle w:val="Title"/>
        <w:spacing w:after="100"/>
      </w:pPr>
      <w:r>
        <w:t>Sources and evidence • interpretations</w:t>
      </w:r>
    </w:p>
    <w:p>
      <w:pPr>
        <w:pStyle w:val="Heading2"/>
      </w:pPr>
      <w:r>
        <w:t>Sources and evidence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5"/>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5"/>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5"/>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5"/>
              </w:rPr>
              <w:t>Look closely; say what a source shows and ask a simple question.</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Use detail from more than one source to answer a question; distinguish object, picture and account.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5"/>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5"/>
              </w:rPr>
              <w:t>Infer from a source; identify creator, time and purpose; recognise that a source cannot answer every question.</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Cross-check sources and explain how provenance affects what can reasonably be inferred.</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5"/>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5"/>
              </w:rPr>
              <w:t>Evaluate usefulness for a precise enquiry, considering content, origin, purpose and missing voices.</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Select, corroborate and qualify evidence independently; explain uncertainty and limits without dismissing a source as simply ‘biased’.</w:t>
            </w:r>
          </w:p>
        </w:tc>
      </w:tr>
    </w:tbl>
    <w:p>
      <w:pPr>
        <w:spacing w:after="0" w:lineRule="exact" w:line="40"/>
      </w:pPr>
    </w:p>
    <w:p>
      <w:pPr>
        <w:pStyle w:val="Heading2"/>
      </w:pPr>
      <w:r>
        <w:t>Interpretations</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5"/>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5"/>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5"/>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5"/>
              </w:rPr>
              <w:t>Know that stories and pictures are ways of showing the past.</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Notice that two accounts may include different details.</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5"/>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5"/>
              </w:rPr>
              <w:t>Distinguish a source from a later interpretation; suggest why accounts differ.</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Compare interpretations and link differences to evidence, purpose, audience or time.</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5"/>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5"/>
              </w:rPr>
              <w:t>Evaluate how convincing interpretations are using secure contextual knowledge and evidence.</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Explain how interpretations are constructed, test claims and reach a reasoned judgement.</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2B7A7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6F3F1"/>
            <w:tcMar>
              <w:top w:w="90" w:type="dxa"/>
              <w:start w:w="110" w:type="dxa"/>
              <w:bottom w:w="90" w:type="dxa"/>
              <w:end w:w="110" w:type="dxa"/>
            </w:tcMar>
            <w:vAlign w:val="center"/>
          </w:tcPr>
          <w:p>
            <w:pPr>
              <w:spacing w:after="20"/>
            </w:pPr>
            <w:r/>
            <w:r>
              <w:rPr>
                <w:b/>
                <w:color w:val="2B7A78"/>
                <w:sz w:val="18"/>
              </w:rPr>
              <w:t xml:space="preserve">Teacher language  </w:t>
            </w:r>
            <w:r>
              <w:rPr>
                <w:color w:val="263238"/>
                <w:sz w:val="18"/>
              </w:rPr>
              <w:t>Ask ‘How useful is this source for this particular question?’ rather than ‘Is this source reliable?’ Use ‘This suggests…’, ‘This is supported by…’, ‘However, it cannot tell us…’ and ‘A different interpretation is…’.</w:t>
            </w:r>
          </w:p>
        </w:tc>
      </w:tr>
    </w:tbl>
    <w:p>
      <w:pPr>
        <w:spacing w:after="0" w:lineRule="exact" w:line="40"/>
      </w:pPr>
    </w:p>
    <w:p>
      <w:pPr>
        <w:pStyle w:val="Heading2"/>
      </w:pPr>
      <w:r>
        <w:t>Indicative source progression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504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Lower mixed class</w:t>
            </w:r>
          </w:p>
        </w:tc>
        <w:tc>
          <w:tcPr>
            <w:tcW w:type="dxa" w:w="504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Upper mixed class</w:t>
            </w:r>
          </w:p>
        </w:tc>
      </w:tr>
      <w:tr>
        <w:trPr>
          <w:cantSplit/>
        </w:trPr>
        <w:tc>
          <w:tcPr>
            <w:tcW w:type="dxa" w:w="5040"/>
            <w:vAlign w:val="center"/>
            <w:tcMar>
              <w:top w:w="70" w:type="dxa"/>
              <w:start w:w="80" w:type="dxa"/>
              <w:bottom w:w="70" w:type="dxa"/>
              <w:end w:w="80" w:type="dxa"/>
            </w:tcMar>
          </w:tcPr>
          <w:p>
            <w:pPr>
              <w:spacing w:after="0" w:line="240" w:lineRule="auto"/>
            </w:pPr>
            <w:r/>
            <w:r>
              <w:rPr>
                <w:rFonts w:ascii="Aptos" w:hAnsi="Aptos"/>
                <w:b w:val="0"/>
                <w:color w:val="263238"/>
                <w:sz w:val="16"/>
              </w:rPr>
              <w:t>Artefacts, photographs, simple maps, buildings, short written extracts, commemorations and carefully mediated testimony.</w:t>
            </w:r>
          </w:p>
        </w:tc>
        <w:tc>
          <w:tcPr>
            <w:tcW w:type="dxa" w:w="5040"/>
            <w:vAlign w:val="center"/>
            <w:tcMar>
              <w:top w:w="70" w:type="dxa"/>
              <w:start w:w="80" w:type="dxa"/>
              <w:bottom w:w="70" w:type="dxa"/>
              <w:end w:w="80" w:type="dxa"/>
            </w:tcMar>
          </w:tcPr>
          <w:p>
            <w:pPr>
              <w:spacing w:after="0" w:line="240" w:lineRule="auto"/>
            </w:pPr>
            <w:r/>
            <w:r>
              <w:rPr>
                <w:rFonts w:ascii="Aptos" w:hAnsi="Aptos"/>
                <w:b w:val="0"/>
                <w:color w:val="263238"/>
                <w:sz w:val="16"/>
              </w:rPr>
              <w:t>Official records/posters, oral histories, letters, photographs, maps, statistics, material culture, newspapers and contrasting later accounts.</w:t>
            </w:r>
          </w:p>
        </w:tc>
      </w:tr>
    </w:tbl>
    <w:p>
      <w:pPr>
        <w:spacing w:after="0" w:lineRule="exact" w:line="40"/>
      </w:pPr>
    </w:p>
    <w:p>
      <w:r>
        <w:br w:type="page"/>
      </w:r>
    </w:p>
    <w:p>
      <w:pPr>
        <w:spacing w:after="60"/>
      </w:pPr>
      <w:r>
        <w:rPr>
          <w:rFonts w:ascii="Aptos" w:hAnsi="Aptos"/>
          <w:b/>
          <w:color w:val="D6A84B"/>
          <w:sz w:val="17"/>
        </w:rPr>
        <w:t>9 • DISCIPLINARY PROGRESSION</w:t>
      </w:r>
    </w:p>
    <w:p>
      <w:pPr>
        <w:pStyle w:val="Title"/>
        <w:spacing w:after="100"/>
      </w:pPr>
      <w:r>
        <w:t>Significance • enquiry and communication</w:t>
      </w:r>
    </w:p>
    <w:p>
      <w:pPr>
        <w:pStyle w:val="Heading2"/>
      </w:pPr>
      <w:r>
        <w:t>Historical significance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Say why a person, place or event is remembered.</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Give a supported reason why something was important to people at the time or later.</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Use simple criteria: importance, remembered impact, consequences and relevance.</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Recognise that significance is a judgement and may differ by group or time.</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Apply explicit criteria and compare significance using evidence.</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Reach and defend a balanced judgement, distinguishing significance at the time from later legacy.</w:t>
            </w:r>
          </w:p>
        </w:tc>
      </w:tr>
    </w:tbl>
    <w:p>
      <w:pPr>
        <w:spacing w:after="0" w:lineRule="exact" w:line="40"/>
      </w:pPr>
    </w:p>
    <w:p>
      <w:pPr>
        <w:pStyle w:val="Heading2"/>
      </w:pPr>
      <w:r>
        <w:t>Enquiry and communication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864"/>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921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Progression statement</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Answer a question orally, through drawing, labels or a sequenced sentence.</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Select relevant detail and write a short supported explanation.</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Plan a response with a clear claim, selected evidence and historical vocabulary.</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Y4</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Organise paragraphs around the enquiry; explain rather than list; acknowledge another view.</w:t>
            </w:r>
          </w:p>
        </w:tc>
      </w:tr>
      <w:tr>
        <w:trPr>
          <w:cantSplit/>
        </w:trPr>
        <w:tc>
          <w:tcPr>
            <w:tcW w:type="dxa" w:w="864"/>
            <w:vAlign w:val="center"/>
            <w:tcMar>
              <w:top w:w="70" w:type="dxa"/>
              <w:start w:w="80" w:type="dxa"/>
              <w:bottom w:w="70" w:type="dxa"/>
              <w:end w:w="80" w:type="dxa"/>
            </w:tcMar>
          </w:tcPr>
          <w:p>
            <w:pPr>
              <w:spacing w:after="0" w:line="240" w:lineRule="auto"/>
            </w:pPr>
            <w:r/>
            <w:r>
              <w:rPr>
                <w:rFonts w:ascii="Aptos" w:hAnsi="Aptos"/>
                <w:b w:val="0"/>
                <w:color w:val="263238"/>
                <w:sz w:val="16"/>
              </w:rPr>
              <w:t>Y5</w:t>
            </w:r>
          </w:p>
        </w:tc>
        <w:tc>
          <w:tcPr>
            <w:tcW w:type="dxa" w:w="9216"/>
            <w:vAlign w:val="center"/>
            <w:tcMar>
              <w:top w:w="70" w:type="dxa"/>
              <w:start w:w="80" w:type="dxa"/>
              <w:bottom w:w="70" w:type="dxa"/>
              <w:end w:w="80" w:type="dxa"/>
            </w:tcMar>
          </w:tcPr>
          <w:p>
            <w:pPr>
              <w:spacing w:after="0" w:line="240" w:lineRule="auto"/>
            </w:pPr>
            <w:r/>
            <w:r>
              <w:rPr>
                <w:rFonts w:ascii="Aptos" w:hAnsi="Aptos"/>
                <w:b w:val="0"/>
                <w:color w:val="263238"/>
                <w:sz w:val="16"/>
              </w:rPr>
              <w:t>Construct a sustained response using evidence, links and a justified conclusion.</w:t>
            </w:r>
          </w:p>
        </w:tc>
      </w:tr>
      <w:tr>
        <w:trPr>
          <w:cantSplit/>
        </w:trPr>
        <w:tc>
          <w:tcPr>
            <w:tcW w:type="dxa" w:w="864"/>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Y6</w:t>
            </w:r>
          </w:p>
        </w:tc>
        <w:tc>
          <w:tcPr>
            <w:tcW w:type="dxa" w:w="921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Frame or refine questions; select and synthesise evidence; communicate a precise, qualified judgement.</w:t>
            </w:r>
          </w:p>
        </w:tc>
      </w:tr>
    </w:tbl>
    <w:p>
      <w:pPr>
        <w:spacing w:after="0" w:lineRule="exact" w:line="40"/>
      </w:pPr>
    </w:p>
    <w:p>
      <w:pPr>
        <w:pStyle w:val="Heading2"/>
      </w:pPr>
      <w:r>
        <w:t>Assessment principle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Know more and think better  </w:t>
            </w:r>
            <w:r>
              <w:rPr>
                <w:color w:val="263238"/>
                <w:sz w:val="18"/>
              </w:rPr>
              <w:t>Final outcomes assess both layers: secure substantive content and increasingly disciplined use of chronology, evidence and historical concepts. Presentation quality or English transcription must not obscure a pupil’s historical understanding.</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312"/>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Working towards</w:t>
            </w:r>
          </w:p>
        </w:tc>
        <w:tc>
          <w:tcPr>
            <w:tcW w:type="dxa" w:w="3312"/>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Secure</w:t>
            </w:r>
          </w:p>
        </w:tc>
        <w:tc>
          <w:tcPr>
            <w:tcW w:type="dxa" w:w="3312"/>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Deepening</w:t>
            </w:r>
          </w:p>
        </w:tc>
      </w:tr>
      <w:tr>
        <w:trPr>
          <w:cantSplit/>
        </w:trPr>
        <w:tc>
          <w:tcPr>
            <w:tcW w:type="dxa" w:w="3312"/>
            <w:vAlign w:val="center"/>
            <w:tcMar>
              <w:top w:w="70" w:type="dxa"/>
              <w:start w:w="80" w:type="dxa"/>
              <w:bottom w:w="70" w:type="dxa"/>
              <w:end w:w="80" w:type="dxa"/>
            </w:tcMar>
          </w:tcPr>
          <w:p>
            <w:pPr>
              <w:spacing w:after="0" w:line="240" w:lineRule="auto"/>
            </w:pPr>
            <w:r/>
            <w:r>
              <w:rPr>
                <w:rFonts w:ascii="Aptos" w:hAnsi="Aptos"/>
                <w:b w:val="0"/>
                <w:color w:val="263238"/>
                <w:sz w:val="16"/>
              </w:rPr>
              <w:t>Recalls fragments; needs support to sequence, select evidence or explain.</w:t>
            </w:r>
          </w:p>
        </w:tc>
        <w:tc>
          <w:tcPr>
            <w:tcW w:type="dxa" w:w="3312"/>
            <w:vAlign w:val="center"/>
            <w:tcMar>
              <w:top w:w="70" w:type="dxa"/>
              <w:start w:w="80" w:type="dxa"/>
              <w:bottom w:w="70" w:type="dxa"/>
              <w:end w:w="80" w:type="dxa"/>
            </w:tcMar>
          </w:tcPr>
          <w:p>
            <w:pPr>
              <w:spacing w:after="0" w:line="240" w:lineRule="auto"/>
            </w:pPr>
            <w:r/>
            <w:r>
              <w:rPr>
                <w:rFonts w:ascii="Aptos" w:hAnsi="Aptos"/>
                <w:b w:val="0"/>
                <w:color w:val="263238"/>
                <w:sz w:val="16"/>
              </w:rPr>
              <w:t>Uses the expected year-group knowledge and disciplinary process to answer the enquiry.</w:t>
            </w:r>
          </w:p>
        </w:tc>
        <w:tc>
          <w:tcPr>
            <w:tcW w:type="dxa" w:w="3312"/>
            <w:vAlign w:val="center"/>
            <w:tcMar>
              <w:top w:w="70" w:type="dxa"/>
              <w:start w:w="80" w:type="dxa"/>
              <w:bottom w:w="70" w:type="dxa"/>
              <w:end w:w="80" w:type="dxa"/>
            </w:tcMar>
          </w:tcPr>
          <w:p>
            <w:pPr>
              <w:spacing w:after="0" w:line="240" w:lineRule="auto"/>
            </w:pPr>
            <w:r/>
            <w:r>
              <w:rPr>
                <w:rFonts w:ascii="Aptos" w:hAnsi="Aptos"/>
                <w:b w:val="0"/>
                <w:color w:val="263238"/>
                <w:sz w:val="16"/>
              </w:rPr>
              <w:t>Makes independent connections, qualifies claims and evaluates evidence within taught content.</w:t>
            </w:r>
          </w:p>
        </w:tc>
      </w:tr>
    </w:tbl>
    <w:p>
      <w:pPr>
        <w:spacing w:after="0" w:lineRule="exact" w:line="40"/>
      </w:pPr>
    </w:p>
    <w:p>
      <w:r>
        <w:br w:type="page"/>
      </w:r>
    </w:p>
    <w:p>
      <w:pPr>
        <w:spacing w:after="60"/>
      </w:pPr>
      <w:r>
        <w:rPr>
          <w:rFonts w:ascii="Aptos" w:hAnsi="Aptos"/>
          <w:b/>
          <w:color w:val="D6A84B"/>
          <w:sz w:val="17"/>
        </w:rPr>
        <w:t>10 • AUTUMN 2 • YEARS 1/2/3</w:t>
      </w:r>
    </w:p>
    <w:p>
      <w:pPr>
        <w:pStyle w:val="Title"/>
        <w:spacing w:after="100"/>
      </w:pPr>
      <w:r>
        <w:t>The Gunpowder Plot</w:t>
      </w:r>
    </w:p>
    <w:p>
      <w:pPr>
        <w:spacing w:after="200"/>
      </w:pPr>
      <w:r>
        <w:rPr>
          <w:i/>
          <w:color w:val="687386"/>
          <w:sz w:val="22"/>
        </w:rPr>
        <w:t>Why did the Gunpowder Plot happen, and why is it remembered?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Shared lower-class enquiry. Y1–2: event beyond living memory. Y3: British history beyond 1066 at KS2 depth.</w:t>
            </w:r>
          </w:p>
        </w:tc>
        <w:tc>
          <w:tcPr>
            <w:tcW w:type="dxa" w:w="7560"/>
            <w:vAlign w:val="center"/>
            <w:tcMar>
              <w:top w:w="70" w:type="dxa"/>
              <w:start w:w="80" w:type="dxa"/>
              <w:bottom w:w="70" w:type="dxa"/>
              <w:end w:w="80" w:type="dxa"/>
            </w:tcMar>
          </w:tcPr>
          <w:p>
            <w:pPr>
              <w:spacing w:after="0" w:line="240" w:lineRule="auto"/>
            </w:pPr>
            <w:r/>
            <w:r>
              <w:rPr>
                <w:rFonts w:ascii="Aptos" w:hAnsi="Aptos"/>
                <w:b w:val="0"/>
                <w:color w:val="263238"/>
                <w:sz w:val="16"/>
              </w:rPr>
              <w:t>KS1: events beyond living memory significant nationally. KS2 (Y3): aspect/theme in British history beyond 1066.</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Curriculum note  </w:t>
            </w:r>
            <w:r>
              <w:rPr>
                <w:color w:val="263238"/>
                <w:sz w:val="18"/>
              </w:rPr>
              <w:t>Use neutral, historically precise language. This is a study of past political and religious conflict, not a judgement about Catholic identity today.</w:t>
            </w:r>
          </w:p>
        </w:tc>
      </w:tr>
    </w:tbl>
    <w:p>
      <w:pPr>
        <w:spacing w:after="0" w:lineRule="exact" w:line="40"/>
      </w:pPr>
    </w:p>
    <w:p>
      <w:pPr>
        <w:pStyle w:val="Heading2"/>
      </w:pPr>
      <w:r>
        <w:t>Substantive knowledge: what pupils will know</w:t>
      </w:r>
    </w:p>
    <w:p>
      <w:pPr>
        <w:pStyle w:val="ListBullet"/>
        <w:spacing w:after="40"/>
        <w:ind w:left="317" w:hanging="187"/>
      </w:pPr>
      <w:r>
        <w:t>James VI of Scotland became James I of England in 1603; England had experienced religious conflict and restrictions.</w:t>
      </w:r>
    </w:p>
    <w:p>
      <w:pPr>
        <w:pStyle w:val="ListBullet"/>
        <w:spacing w:after="40"/>
        <w:ind w:left="317" w:hanging="187"/>
      </w:pPr>
      <w:r>
        <w:t>A group of Catholic plotters planned to destroy Parliament at the State Opening on 5 November 1605; Guy Fawkes guarded the gunpowder.</w:t>
      </w:r>
    </w:p>
    <w:p>
      <w:pPr>
        <w:pStyle w:val="ListBullet"/>
        <w:spacing w:after="40"/>
        <w:ind w:left="317" w:hanging="187"/>
      </w:pPr>
      <w:r>
        <w:t>The plot was discovered following the Monteagle letter; Fawkes was arrested and the other plotters were pursued.</w:t>
      </w:r>
    </w:p>
    <w:p>
      <w:pPr>
        <w:pStyle w:val="ListBullet"/>
        <w:spacing w:after="40"/>
        <w:ind w:left="317" w:hanging="187"/>
      </w:pPr>
      <w:r>
        <w:t>The event had severe consequences for those involved and for English Catholics; commemoration changed over time.</w:t>
      </w:r>
    </w:p>
    <w:p>
      <w:pPr>
        <w:pStyle w:val="ListBullet"/>
        <w:spacing w:after="40"/>
        <w:ind w:left="317" w:hanging="187"/>
      </w:pPr>
      <w:r>
        <w:t>Guy Fawkes was one participant, not the sole cause or leader; the event must be taught with care, avoiding stereotypes about Catholics.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Recurring substantive concepts</w:t>
            </w:r>
          </w:p>
        </w:tc>
        <w:tc>
          <w:tcPr>
            <w:tcW w:type="dxa" w:w="338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Principal disciplinary focus</w:t>
            </w:r>
          </w:p>
        </w:tc>
        <w:tc>
          <w:tcPr>
            <w:tcW w:type="dxa" w:w="345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Useful evidence</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6"/>
              </w:rPr>
              <w:t>power • belief • governance • conflict • commemoration</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cause and consequence; chronology; sources versus later interpretations</w:t>
            </w:r>
          </w:p>
        </w:tc>
        <w:tc>
          <w:tcPr>
            <w:tcW w:type="dxa" w:w="3456"/>
            <w:vAlign w:val="center"/>
            <w:tcMar>
              <w:top w:w="70" w:type="dxa"/>
              <w:start w:w="80" w:type="dxa"/>
              <w:bottom w:w="70" w:type="dxa"/>
              <w:end w:w="80" w:type="dxa"/>
            </w:tcMar>
          </w:tcPr>
          <w:p>
            <w:pPr>
              <w:spacing w:after="0" w:line="240" w:lineRule="auto"/>
            </w:pPr>
            <w:r/>
            <w:r>
              <w:rPr>
                <w:rFonts w:ascii="Aptos" w:hAnsi="Aptos"/>
                <w:b w:val="0"/>
                <w:color w:val="263238"/>
                <w:sz w:val="16"/>
              </w:rPr>
              <w:t>Monteagle letter extract/facsimile; contemporary engravings; Parliament setting; later bonfire imagery; simple timeline</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885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Expected historical thinking and communication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Sequence 3–4 events; identify a simple reason and result; use a source detail in an oral or pictorial answer.</w:t>
            </w:r>
          </w:p>
        </w:tc>
      </w:tr>
      <w:tr>
        <w:trPr>
          <w:cantSplit/>
        </w:trPr>
        <w:tc>
          <w:tcPr>
            <w:tcW w:type="dxa" w:w="108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885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more than one cause or consequence using because/therefore; compare event and commemoration.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Place 1605 in a wider post-Reformation context; group causes; distinguish source from interpretation and qualify a conclusion.</w:t>
            </w:r>
          </w:p>
        </w:tc>
      </w:tr>
    </w:tbl>
    <w:p>
      <w:pPr>
        <w:spacing w:after="0" w:lineRule="exact" w:line="40"/>
      </w:pPr>
    </w:p>
    <w:p>
      <w:pPr>
        <w:pStyle w:val="Heading2"/>
      </w:pPr>
      <w:r>
        <w:t>End point and assessment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Common outcome  </w:t>
            </w:r>
            <w:r>
              <w:rPr>
                <w:color w:val="263238"/>
                <w:sz w:val="18"/>
              </w:rPr>
              <w:t>Answer the enquiry with a causal explanation and evidence; distinguish the 1605 event from later ways it has been remembered.</w:t>
            </w:r>
          </w:p>
        </w:tc>
      </w:tr>
    </w:tbl>
    <w:p>
      <w:pPr>
        <w:spacing w:after="0" w:lineRule="exact" w:line="40"/>
      </w:pPr>
    </w:p>
    <w:p>
      <w:r>
        <w:rPr>
          <w:b/>
          <w:color w:val="17365D"/>
        </w:rPr>
        <w:t xml:space="preserve">Core vocabulary: </w:t>
      </w:r>
      <w:r>
        <w:t>plot, Parliament, monarch, Catholic, Protestant, belief, treason, evidence, commemoration</w:t>
      </w:r>
    </w:p>
    <w:p>
      <w:r>
        <w:br w:type="page"/>
      </w:r>
    </w:p>
    <w:p>
      <w:pPr>
        <w:spacing w:after="60"/>
      </w:pPr>
      <w:r>
        <w:rPr>
          <w:rFonts w:ascii="Aptos" w:hAnsi="Aptos"/>
          <w:b/>
          <w:color w:val="D6A84B"/>
          <w:sz w:val="17"/>
        </w:rPr>
        <w:t>11 • SPRING 2 • YEARS 1/2/3</w:t>
      </w:r>
    </w:p>
    <w:p>
      <w:pPr>
        <w:pStyle w:val="Title"/>
        <w:spacing w:after="100"/>
      </w:pPr>
      <w:r>
        <w:t>Toys: Past and Present</w:t>
      </w:r>
    </w:p>
    <w:p>
      <w:pPr>
        <w:spacing w:after="200"/>
      </w:pPr>
      <w:r>
        <w:rPr>
          <w:i/>
          <w:color w:val="687386"/>
          <w:sz w:val="22"/>
        </w:rPr>
        <w:t>How and why have toys changed?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Shared lower-class enquiry. Y1–2: changes within living memory. Y3: thematic enquiry taught at KS2 disciplinary depth.</w:t>
            </w:r>
          </w:p>
        </w:tc>
        <w:tc>
          <w:tcPr>
            <w:tcW w:type="dxa" w:w="7560"/>
            <w:vAlign w:val="center"/>
            <w:tcMar>
              <w:top w:w="70" w:type="dxa"/>
              <w:start w:w="80" w:type="dxa"/>
              <w:bottom w:w="70" w:type="dxa"/>
              <w:end w:w="80" w:type="dxa"/>
            </w:tcMar>
          </w:tcPr>
          <w:p>
            <w:pPr>
              <w:spacing w:after="0" w:line="240" w:lineRule="auto"/>
            </w:pPr>
            <w:r/>
            <w:r>
              <w:rPr>
                <w:rFonts w:ascii="Aptos" w:hAnsi="Aptos"/>
                <w:b w:val="0"/>
                <w:color w:val="263238"/>
                <w:sz w:val="16"/>
              </w:rPr>
              <w:t>KS1: changes within living memory; significant individuals may be included if explicitly selected. Y3: supports chronological, evidence and change concepts but is not, alone, a named KS2 content entitlement.</w:t>
            </w:r>
          </w:p>
        </w:tc>
      </w:tr>
    </w:tbl>
    <w:p>
      <w:pPr>
        <w:spacing w:after="0" w:lineRule="exact" w:line="40"/>
      </w:pPr>
    </w:p>
    <w:p>
      <w:pPr>
        <w:pStyle w:val="Heading2"/>
      </w:pPr>
      <w:r>
        <w:t>Substantive knowledge: what pupils will know</w:t>
      </w:r>
    </w:p>
    <w:p>
      <w:pPr>
        <w:pStyle w:val="ListBullet"/>
        <w:spacing w:after="40"/>
        <w:ind w:left="317" w:hanging="187"/>
      </w:pPr>
      <w:r>
        <w:t>Toys reveal information about materials, technology, manufacture, cost, advertising, family life and ideas about childhood.</w:t>
      </w:r>
    </w:p>
    <w:p>
      <w:pPr>
        <w:pStyle w:val="ListBullet"/>
        <w:spacing w:after="40"/>
        <w:ind w:left="317" w:hanging="187"/>
      </w:pPr>
      <w:r>
        <w:t>Many older toys used wood, metal, fabric or simple mechanisms; newer toys may use plastics, electronics and digital technology.</w:t>
      </w:r>
    </w:p>
    <w:p>
      <w:pPr>
        <w:pStyle w:val="ListBullet"/>
        <w:spacing w:after="40"/>
        <w:ind w:left="317" w:hanging="187"/>
      </w:pPr>
      <w:r>
        <w:t>Change was uneven: some traditional toys remain in use, and not every child had equal access to the same toys.</w:t>
      </w:r>
    </w:p>
    <w:p>
      <w:pPr>
        <w:pStyle w:val="ListBullet"/>
        <w:spacing w:after="40"/>
        <w:ind w:left="317" w:hanging="187"/>
      </w:pPr>
      <w:r>
        <w:t>Oral testimony can reveal memory and experience but memories are selective and should be compared with other evidence.</w:t>
      </w:r>
    </w:p>
    <w:p>
      <w:pPr>
        <w:pStyle w:val="ListBullet"/>
        <w:spacing w:after="40"/>
        <w:ind w:left="317" w:hanging="187"/>
      </w:pPr>
      <w:r>
        <w:t>‘Newer’ does not automatically mean ‘better’; historical judgement depends on criteria.</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Recurring substantive concepts</w:t>
            </w:r>
          </w:p>
        </w:tc>
        <w:tc>
          <w:tcPr>
            <w:tcW w:type="dxa" w:w="338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Principal disciplinary focus</w:t>
            </w:r>
          </w:p>
        </w:tc>
        <w:tc>
          <w:tcPr>
            <w:tcW w:type="dxa" w:w="345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Useful evidence</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6"/>
              </w:rPr>
              <w:t>childhood • technology • materials • production • access</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change and continuity; similarity and difference; sources and evidence</w:t>
            </w:r>
          </w:p>
        </w:tc>
        <w:tc>
          <w:tcPr>
            <w:tcW w:type="dxa" w:w="3456"/>
            <w:vAlign w:val="center"/>
            <w:tcMar>
              <w:top w:w="70" w:type="dxa"/>
              <w:start w:w="80" w:type="dxa"/>
              <w:bottom w:w="70" w:type="dxa"/>
              <w:end w:w="80" w:type="dxa"/>
            </w:tcMar>
          </w:tcPr>
          <w:p>
            <w:pPr>
              <w:spacing w:after="0" w:line="240" w:lineRule="auto"/>
            </w:pPr>
            <w:r/>
            <w:r>
              <w:rPr>
                <w:rFonts w:ascii="Aptos" w:hAnsi="Aptos"/>
                <w:b w:val="0"/>
                <w:color w:val="263238"/>
                <w:sz w:val="16"/>
              </w:rPr>
              <w:t>School/family toy museum; dated photographs/catalogues; adverts; oral testimony; materials and mechanisms; museum records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885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Expected historical thinking and communication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Sort toys old/new with reasons; identify one change and one continuity.</w:t>
            </w:r>
          </w:p>
        </w:tc>
      </w:tr>
      <w:tr>
        <w:trPr>
          <w:cantSplit/>
        </w:trPr>
        <w:tc>
          <w:tcPr>
            <w:tcW w:type="dxa" w:w="108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885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Sequence toys; compare materials or play; use two source details to explain a change.</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Use a scaled timeline; explain drivers of change and uneven access; evaluate what oral testimony can and cannot establish.</w:t>
            </w:r>
          </w:p>
        </w:tc>
      </w:tr>
    </w:tbl>
    <w:p>
      <w:pPr>
        <w:spacing w:after="0" w:lineRule="exact" w:line="40"/>
      </w:pPr>
    </w:p>
    <w:p>
      <w:pPr>
        <w:pStyle w:val="Heading2"/>
      </w:pPr>
      <w:r>
        <w:t>End point and assessment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Common outcome  </w:t>
            </w:r>
            <w:r>
              <w:rPr>
                <w:color w:val="263238"/>
                <w:sz w:val="18"/>
              </w:rPr>
              <w:t>Create a dated museum interpretation or explanation that identifies change, continuity and at least one reason, using evidence.</w:t>
            </w:r>
          </w:p>
        </w:tc>
      </w:tr>
    </w:tbl>
    <w:p>
      <w:pPr>
        <w:spacing w:after="0" w:lineRule="exact" w:line="40"/>
      </w:pPr>
    </w:p>
    <w:p>
      <w:r>
        <w:rPr>
          <w:b/>
          <w:color w:val="17365D"/>
        </w:rPr>
        <w:t xml:space="preserve">Core vocabulary: </w:t>
      </w:r>
      <w:r>
        <w:t>living memory, artefact, material, mechanism, manufacture, decade, change, continuity, testimony</w:t>
      </w:r>
    </w:p>
    <w:p>
      <w:r>
        <w:br w:type="page"/>
      </w:r>
    </w:p>
    <w:p>
      <w:pPr>
        <w:spacing w:after="60"/>
      </w:pPr>
      <w:r>
        <w:rPr>
          <w:rFonts w:ascii="Aptos" w:hAnsi="Aptos"/>
          <w:b/>
          <w:color w:val="D6A84B"/>
          <w:sz w:val="17"/>
        </w:rPr>
        <w:t>12 • SUMMER 1 • YEARS 1/2/3</w:t>
      </w:r>
    </w:p>
    <w:p>
      <w:pPr>
        <w:pStyle w:val="Title"/>
        <w:spacing w:after="100"/>
      </w:pPr>
      <w:r>
        <w:t>How has Chipping changed?</w:t>
      </w:r>
    </w:p>
    <w:p>
      <w:pPr>
        <w:spacing w:after="200"/>
      </w:pPr>
      <w:r>
        <w:rPr>
          <w:i/>
          <w:color w:val="687386"/>
          <w:sz w:val="22"/>
        </w:rPr>
        <w:t>How have Chipping’s landscape and land use changed, and what has continued?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Shared lower-class local history enquiry. Fieldwork is used as historical evidence, not only as Geography.</w:t>
            </w:r>
          </w:p>
        </w:tc>
        <w:tc>
          <w:tcPr>
            <w:tcW w:type="dxa" w:w="7560"/>
            <w:vAlign w:val="center"/>
            <w:tcMar>
              <w:top w:w="70" w:type="dxa"/>
              <w:start w:w="80" w:type="dxa"/>
              <w:bottom w:w="70" w:type="dxa"/>
              <w:end w:w="80" w:type="dxa"/>
            </w:tcMar>
          </w:tcPr>
          <w:p>
            <w:pPr>
              <w:spacing w:after="0" w:line="240" w:lineRule="auto"/>
            </w:pPr>
            <w:r/>
            <w:r>
              <w:rPr>
                <w:rFonts w:ascii="Aptos" w:hAnsi="Aptos"/>
                <w:b w:val="0"/>
                <w:color w:val="263238"/>
                <w:sz w:val="16"/>
              </w:rPr>
              <w:t>KS1: significant historical events, people and places in the locality. KS2 (Y3): local history study.</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Curriculum note  </w:t>
            </w:r>
            <w:r>
              <w:rPr>
                <w:color w:val="263238"/>
                <w:sz w:val="18"/>
              </w:rPr>
              <w:t>Only state local dates or claims that can be evidenced. Record archive references or provenance in teachers’ planning.</w:t>
            </w:r>
          </w:p>
        </w:tc>
      </w:tr>
    </w:tbl>
    <w:p>
      <w:pPr>
        <w:spacing w:after="0" w:lineRule="exact" w:line="40"/>
      </w:pPr>
    </w:p>
    <w:p>
      <w:pPr>
        <w:pStyle w:val="Heading2"/>
      </w:pPr>
      <w:r>
        <w:t>Substantive knowledge: what pupils will know</w:t>
      </w:r>
    </w:p>
    <w:p>
      <w:pPr>
        <w:pStyle w:val="ListBullet"/>
        <w:spacing w:after="40"/>
        <w:ind w:left="317" w:hanging="187"/>
      </w:pPr>
      <w:r>
        <w:t>Chipping is an old Lancashire settlement whose buildings, routes, work, services and surrounding land reflect change over time.</w:t>
      </w:r>
    </w:p>
    <w:p>
      <w:pPr>
        <w:pStyle w:val="ListBullet"/>
        <w:spacing w:after="40"/>
        <w:ind w:left="317" w:hanging="187"/>
      </w:pPr>
      <w:r>
        <w:t>Historic maps, photographs, buildings, parish/school material and oral testimony can reveal how land and community use changed.</w:t>
      </w:r>
    </w:p>
    <w:p>
      <w:pPr>
        <w:pStyle w:val="ListBullet"/>
        <w:spacing w:after="40"/>
        <w:ind w:left="317" w:hanging="187"/>
      </w:pPr>
      <w:r>
        <w:t>Some features endure while their purpose changes; continuity may be as historically important as visible change.</w:t>
      </w:r>
    </w:p>
    <w:p>
      <w:pPr>
        <w:pStyle w:val="ListBullet"/>
        <w:spacing w:after="40"/>
        <w:ind w:left="317" w:hanging="187"/>
      </w:pPr>
      <w:r>
        <w:t>The school’s story, including its nineteenth-century roots, can be placed within the community’s development where evidence supports it.</w:t>
      </w:r>
    </w:p>
    <w:p>
      <w:pPr>
        <w:pStyle w:val="ListBullet"/>
        <w:spacing w:after="40"/>
        <w:ind w:left="317" w:hanging="187"/>
      </w:pPr>
      <w:r>
        <w:t>Local change connects to wider developments such as transport, farming, industry, population, worship and public services.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Recurring substantive concepts</w:t>
            </w:r>
          </w:p>
        </w:tc>
        <w:tc>
          <w:tcPr>
            <w:tcW w:type="dxa" w:w="338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Principal disciplinary focus</w:t>
            </w:r>
          </w:p>
        </w:tc>
        <w:tc>
          <w:tcPr>
            <w:tcW w:type="dxa" w:w="345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Useful evidence</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6"/>
              </w:rPr>
              <w:t>local community • land use • work • transport • faith • continuity</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local sources; change and continuity; chronology; significance</w:t>
            </w:r>
          </w:p>
        </w:tc>
        <w:tc>
          <w:tcPr>
            <w:tcW w:type="dxa" w:w="3456"/>
            <w:vAlign w:val="center"/>
            <w:tcMar>
              <w:top w:w="70" w:type="dxa"/>
              <w:start w:w="80" w:type="dxa"/>
              <w:bottom w:w="70" w:type="dxa"/>
              <w:end w:w="80" w:type="dxa"/>
            </w:tcMar>
          </w:tcPr>
          <w:p>
            <w:pPr>
              <w:spacing w:after="0" w:line="240" w:lineRule="auto"/>
            </w:pPr>
            <w:r/>
            <w:r>
              <w:rPr>
                <w:rFonts w:ascii="Aptos" w:hAnsi="Aptos"/>
                <w:b w:val="0"/>
                <w:color w:val="263238"/>
                <w:sz w:val="16"/>
              </w:rPr>
              <w:t>Historic/current OS maps; census extracts where suitable; photographs; buildings; parish and school records; oral testimony; field notes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885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Expected historical thinking and communication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Y1</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Recognise familiar features; compare one old/new image; say what changed or stayed.</w:t>
            </w:r>
          </w:p>
        </w:tc>
      </w:tr>
      <w:tr>
        <w:trPr>
          <w:cantSplit/>
        </w:trPr>
        <w:tc>
          <w:tcPr>
            <w:tcW w:type="dxa" w:w="108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Y2</w:t>
            </w:r>
          </w:p>
        </w:tc>
        <w:tc>
          <w:tcPr>
            <w:tcW w:type="dxa" w:w="885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Sequence local evidence and describe several changes using specific details.</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Y3</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Cross-check map, photograph and testimony; explain pace/causes of change and judge a local feature’s significance.</w:t>
            </w:r>
          </w:p>
        </w:tc>
      </w:tr>
    </w:tbl>
    <w:p>
      <w:pPr>
        <w:spacing w:after="0" w:lineRule="exact" w:line="40"/>
      </w:pPr>
    </w:p>
    <w:p>
      <w:pPr>
        <w:pStyle w:val="Heading2"/>
      </w:pPr>
      <w:r>
        <w:t>End point and assessment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Common outcome  </w:t>
            </w:r>
            <w:r>
              <w:rPr>
                <w:color w:val="263238"/>
                <w:sz w:val="18"/>
              </w:rPr>
              <w:t>Produce an evidence-led ‘then and now’ account or exhibition answering which change mattered most and what remained important.</w:t>
            </w:r>
          </w:p>
        </w:tc>
      </w:tr>
    </w:tbl>
    <w:p>
      <w:pPr>
        <w:spacing w:after="0" w:lineRule="exact" w:line="40"/>
      </w:pPr>
    </w:p>
    <w:p>
      <w:r>
        <w:rPr>
          <w:b/>
          <w:color w:val="17365D"/>
        </w:rPr>
        <w:t xml:space="preserve">Core vocabulary: </w:t>
      </w:r>
      <w:r>
        <w:t>locality, landscape, land use, settlement, route, parish, census, continuity, significance, evidence</w:t>
      </w:r>
    </w:p>
    <w:p>
      <w:r>
        <w:br w:type="page"/>
      </w:r>
    </w:p>
    <w:p>
      <w:pPr>
        <w:spacing w:after="60"/>
      </w:pPr>
      <w:r>
        <w:rPr>
          <w:rFonts w:ascii="Aptos" w:hAnsi="Aptos"/>
          <w:b/>
          <w:color w:val="D6A84B"/>
          <w:sz w:val="17"/>
        </w:rPr>
        <w:t>13 • AUTUMN 2 • YEARS 4/5/6</w:t>
      </w:r>
    </w:p>
    <w:p>
      <w:pPr>
        <w:pStyle w:val="Title"/>
        <w:spacing w:after="100"/>
      </w:pPr>
      <w:r>
        <w:t>Children at War: Evacuees</w:t>
      </w:r>
    </w:p>
    <w:p>
      <w:pPr>
        <w:spacing w:after="200"/>
      </w:pPr>
      <w:r>
        <w:rPr>
          <w:i/>
          <w:color w:val="687386"/>
          <w:sz w:val="22"/>
        </w:rPr>
        <w:t>How did the Second World War change childhood?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Shared upper-class enquiry; the evacuee focus is set within a broader wartime chronology and varied civilian experience.</w:t>
            </w:r>
          </w:p>
        </w:tc>
        <w:tc>
          <w:tcPr>
            <w:tcW w:type="dxa" w:w="7560"/>
            <w:vAlign w:val="center"/>
            <w:tcMar>
              <w:top w:w="70" w:type="dxa"/>
              <w:start w:w="80" w:type="dxa"/>
              <w:bottom w:w="70" w:type="dxa"/>
              <w:end w:w="80" w:type="dxa"/>
            </w:tcMar>
          </w:tcPr>
          <w:p>
            <w:pPr>
              <w:spacing w:after="0" w:line="240" w:lineRule="auto"/>
            </w:pPr>
            <w:r/>
            <w:r>
              <w:rPr>
                <w:rFonts w:ascii="Aptos" w:hAnsi="Aptos"/>
                <w:b w:val="0"/>
                <w:color w:val="263238"/>
                <w:sz w:val="16"/>
              </w:rPr>
              <w:t>KS2: study of an aspect/theme in British history extending chronological knowledge beyond 1066.</w:t>
            </w:r>
          </w:p>
        </w:tc>
      </w:tr>
    </w:tbl>
    <w:p>
      <w:pPr>
        <w:spacing w:after="0" w:lineRule="exact" w:line="40"/>
      </w:pPr>
    </w:p>
    <w:p>
      <w:pPr>
        <w:pStyle w:val="Heading2"/>
      </w:pPr>
      <w:r>
        <w:t>Substantive knowledge: what pupils will know</w:t>
      </w:r>
    </w:p>
    <w:p>
      <w:pPr>
        <w:pStyle w:val="ListBullet"/>
        <w:spacing w:after="40"/>
        <w:ind w:left="317" w:hanging="187"/>
      </w:pPr>
      <w:r>
        <w:t>The Second World War lasted from 1939 to 1945; evacuation was a government response to the threat of bombing, especially in urban/strategic areas.</w:t>
      </w:r>
    </w:p>
    <w:p>
      <w:pPr>
        <w:pStyle w:val="ListBullet"/>
        <w:spacing w:after="40"/>
        <w:ind w:left="317" w:hanging="187"/>
      </w:pPr>
      <w:r>
        <w:t>Evacuation occurred in phases and experiences varied widely; not all children were evacuated and not all stories were alike.</w:t>
      </w:r>
    </w:p>
    <w:p>
      <w:pPr>
        <w:pStyle w:val="ListBullet"/>
        <w:spacing w:after="40"/>
        <w:ind w:left="317" w:hanging="187"/>
      </w:pPr>
      <w:r>
        <w:t>Labels, official posters, photographs, letters and oral histories were created for different purposes and preserve different voices.</w:t>
      </w:r>
    </w:p>
    <w:p>
      <w:pPr>
        <w:pStyle w:val="ListBullet"/>
        <w:spacing w:after="40"/>
        <w:ind w:left="317" w:hanging="187"/>
      </w:pPr>
      <w:r>
        <w:t>War affected family life, schooling, food, safety, work and emotional wellbeing; consequences could be short- and long-term.</w:t>
      </w:r>
    </w:p>
    <w:p>
      <w:pPr>
        <w:pStyle w:val="ListBullet"/>
        <w:spacing w:after="40"/>
        <w:ind w:left="317" w:hanging="187"/>
      </w:pPr>
      <w:r>
        <w:t>Lancashire and local/regional testimony can connect national policy to lived experience, while personal memory must be contextualised.</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Recurring substantive concepts</w:t>
            </w:r>
          </w:p>
        </w:tc>
        <w:tc>
          <w:tcPr>
            <w:tcW w:type="dxa" w:w="338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Principal disciplinary focus</w:t>
            </w:r>
          </w:p>
        </w:tc>
        <w:tc>
          <w:tcPr>
            <w:tcW w:type="dxa" w:w="345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Useful evidence</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6"/>
              </w:rPr>
              <w:t>conflict • childhood • government • belonging • movement • memory</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similarity and difference; consequence; sources/evidence; interpretations</w:t>
            </w:r>
          </w:p>
        </w:tc>
        <w:tc>
          <w:tcPr>
            <w:tcW w:type="dxa" w:w="3456"/>
            <w:vAlign w:val="center"/>
            <w:tcMar>
              <w:top w:w="70" w:type="dxa"/>
              <w:start w:w="80" w:type="dxa"/>
              <w:bottom w:w="70" w:type="dxa"/>
              <w:end w:w="80" w:type="dxa"/>
            </w:tcMar>
          </w:tcPr>
          <w:p>
            <w:pPr>
              <w:spacing w:after="0" w:line="240" w:lineRule="auto"/>
            </w:pPr>
            <w:r/>
            <w:r>
              <w:rPr>
                <w:rFonts w:ascii="Aptos" w:hAnsi="Aptos"/>
                <w:b w:val="0"/>
                <w:color w:val="263238"/>
                <w:sz w:val="16"/>
              </w:rPr>
              <w:t>Government posters and instructions; labels; photographs; letters/diaries; oral testimony; maps of evacuation; later accounts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885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Expected historical thinking and communication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Y4</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Sequence policy and experience; compare two children; infer from sources and note a limitation.</w:t>
            </w:r>
          </w:p>
        </w:tc>
      </w:tr>
      <w:tr>
        <w:trPr>
          <w:cantSplit/>
        </w:trPr>
        <w:tc>
          <w:tcPr>
            <w:tcW w:type="dxa" w:w="108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Y5</w:t>
            </w:r>
          </w:p>
        </w:tc>
        <w:tc>
          <w:tcPr>
            <w:tcW w:type="dxa" w:w="885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interacting causes/consequences; cross-check testimony and official evidence; organise a sustained response.</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Y6</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Evaluate the claim ‘evacuation protected childhood’; account for diversity, provenance, uncertainty and longer-term legacy.</w:t>
            </w:r>
          </w:p>
        </w:tc>
      </w:tr>
    </w:tbl>
    <w:p>
      <w:pPr>
        <w:spacing w:after="0" w:lineRule="exact" w:line="40"/>
      </w:pPr>
    </w:p>
    <w:p>
      <w:pPr>
        <w:pStyle w:val="Heading2"/>
      </w:pPr>
      <w:r>
        <w:t>End point and assessment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Common outcome  </w:t>
            </w:r>
            <w:r>
              <w:rPr>
                <w:color w:val="263238"/>
                <w:sz w:val="18"/>
              </w:rPr>
              <w:t>Write or present a supported judgement about the extent and variety of change to childhood, explicitly testing a generalisation.</w:t>
            </w:r>
          </w:p>
        </w:tc>
      </w:tr>
    </w:tbl>
    <w:p>
      <w:pPr>
        <w:spacing w:after="0" w:lineRule="exact" w:line="40"/>
      </w:pPr>
    </w:p>
    <w:p>
      <w:r>
        <w:rPr>
          <w:b/>
          <w:color w:val="17365D"/>
        </w:rPr>
        <w:t xml:space="preserve">Core vocabulary: </w:t>
      </w:r>
      <w:r>
        <w:t>evacuation, civilian, host family, billeting, propaganda, testimony, provenance, consequence, generalisation</w:t>
      </w:r>
    </w:p>
    <w:p>
      <w:r>
        <w:br w:type="page"/>
      </w:r>
    </w:p>
    <w:p>
      <w:pPr>
        <w:spacing w:after="60"/>
      </w:pPr>
      <w:r>
        <w:rPr>
          <w:rFonts w:ascii="Aptos" w:hAnsi="Aptos"/>
          <w:b/>
          <w:color w:val="D6A84B"/>
          <w:sz w:val="17"/>
        </w:rPr>
        <w:t>14 • SPRING 1 • YEARS 4/5/6</w:t>
      </w:r>
    </w:p>
    <w:p>
      <w:pPr>
        <w:pStyle w:val="Title"/>
        <w:spacing w:after="100"/>
      </w:pPr>
      <w:r>
        <w:t>How did trade change Britain?</w:t>
      </w:r>
    </w:p>
    <w:p>
      <w:pPr>
        <w:spacing w:after="200"/>
      </w:pPr>
      <w:r>
        <w:rPr>
          <w:i/>
          <w:color w:val="687386"/>
          <w:sz w:val="22"/>
        </w:rPr>
        <w:t>How far did trade change Britain and its connections with the wider world?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Shared upper-class thematic enquiry. Teachers must define the selected period, commodities and case studies in the unit plan.</w:t>
            </w:r>
          </w:p>
        </w:tc>
        <w:tc>
          <w:tcPr>
            <w:tcW w:type="dxa" w:w="7560"/>
            <w:vAlign w:val="center"/>
            <w:tcMar>
              <w:top w:w="70" w:type="dxa"/>
              <w:start w:w="80" w:type="dxa"/>
              <w:bottom w:w="70" w:type="dxa"/>
              <w:end w:w="80" w:type="dxa"/>
            </w:tcMar>
          </w:tcPr>
          <w:p>
            <w:pPr>
              <w:spacing w:after="0" w:line="240" w:lineRule="auto"/>
            </w:pPr>
            <w:r/>
            <w:r>
              <w:rPr>
                <w:rFonts w:ascii="Aptos" w:hAnsi="Aptos"/>
                <w:b w:val="0"/>
                <w:color w:val="263238"/>
                <w:sz w:val="16"/>
              </w:rPr>
              <w:t>KS2: aspect/theme in British history extending beyond 1066. May connect to local history and wider-world knowledge.</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Curriculum note  </w:t>
            </w:r>
            <w:r>
              <w:rPr>
                <w:color w:val="263238"/>
                <w:sz w:val="18"/>
              </w:rPr>
              <w:t>Before teaching, record a clear chronological boundary and 2–3 case studies. Without these, ‘trade’ is too broad to sequence or assess securely.</w:t>
            </w:r>
          </w:p>
        </w:tc>
      </w:tr>
    </w:tbl>
    <w:p>
      <w:pPr>
        <w:spacing w:after="0" w:lineRule="exact" w:line="40"/>
      </w:pPr>
    </w:p>
    <w:p>
      <w:pPr>
        <w:pStyle w:val="Heading2"/>
      </w:pPr>
      <w:r>
        <w:t>Substantive knowledge: what pupils will know</w:t>
      </w:r>
    </w:p>
    <w:p>
      <w:pPr>
        <w:pStyle w:val="ListBullet"/>
        <w:spacing w:after="40"/>
        <w:ind w:left="317" w:hanging="187"/>
      </w:pPr>
      <w:r>
        <w:t>Trade is exchange across local, national and international networks; it depends on routes, demand, production, finance, technology and power.</w:t>
      </w:r>
    </w:p>
    <w:p>
      <w:pPr>
        <w:pStyle w:val="ListBullet"/>
        <w:spacing w:after="40"/>
        <w:ind w:left="317" w:hanging="187"/>
      </w:pPr>
      <w:r>
        <w:t>Selected commodities and places should show how trade altered work, towns, consumption, wealth and Britain’s global relationships.</w:t>
      </w:r>
    </w:p>
    <w:p>
      <w:pPr>
        <w:pStyle w:val="ListBullet"/>
        <w:spacing w:after="40"/>
        <w:ind w:left="317" w:hanging="187"/>
      </w:pPr>
      <w:r>
        <w:t>The benefits and harms of trade were unevenly distributed; accounts must include the experiences of producers, workers, traders and consumers.</w:t>
      </w:r>
    </w:p>
    <w:p>
      <w:pPr>
        <w:pStyle w:val="ListBullet"/>
        <w:spacing w:after="40"/>
        <w:ind w:left="317" w:hanging="187"/>
      </w:pPr>
      <w:r>
        <w:t>Where empire or the transatlantic slave economy is relevant to the chosen period, connections must be taught directly, accurately and age-appropriately.</w:t>
      </w:r>
    </w:p>
    <w:p>
      <w:pPr>
        <w:pStyle w:val="ListBullet"/>
        <w:spacing w:after="40"/>
        <w:ind w:left="317" w:hanging="187"/>
      </w:pPr>
      <w:r>
        <w:t>Maps, port records, objects, advertisements, statistics and personal accounts answer different questions and may silence some voices.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Recurring substantive concepts</w:t>
            </w:r>
          </w:p>
        </w:tc>
        <w:tc>
          <w:tcPr>
            <w:tcW w:type="dxa" w:w="338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Principal disciplinary focus</w:t>
            </w:r>
          </w:p>
        </w:tc>
        <w:tc>
          <w:tcPr>
            <w:tcW w:type="dxa" w:w="345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Useful evidence</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6"/>
              </w:rPr>
              <w:t>trade • movement • power • empire • work • inequality • connection</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change and continuity; cause/consequence; evidence; similarity/difference</w:t>
            </w:r>
          </w:p>
        </w:tc>
        <w:tc>
          <w:tcPr>
            <w:tcW w:type="dxa" w:w="3456"/>
            <w:vAlign w:val="center"/>
            <w:tcMar>
              <w:top w:w="70" w:type="dxa"/>
              <w:start w:w="80" w:type="dxa"/>
              <w:bottom w:w="70" w:type="dxa"/>
              <w:end w:w="80" w:type="dxa"/>
            </w:tcMar>
          </w:tcPr>
          <w:p>
            <w:pPr>
              <w:spacing w:after="0" w:line="240" w:lineRule="auto"/>
            </w:pPr>
            <w:r/>
            <w:r>
              <w:rPr>
                <w:rFonts w:ascii="Aptos" w:hAnsi="Aptos"/>
                <w:b w:val="0"/>
                <w:color w:val="263238"/>
                <w:sz w:val="16"/>
              </w:rPr>
              <w:t>Trade maps; commodity objects; port/shipping records; advertisements; statistics; business/personal records; contrasting accounts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885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Expected historical thinking and communication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Y4</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Trace one commodity journey; identify causes and consequences; compare two perspectives.</w:t>
            </w:r>
          </w:p>
        </w:tc>
      </w:tr>
      <w:tr>
        <w:trPr>
          <w:cantSplit/>
        </w:trPr>
        <w:tc>
          <w:tcPr>
            <w:tcW w:type="dxa" w:w="108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Y5</w:t>
            </w:r>
          </w:p>
        </w:tc>
        <w:tc>
          <w:tcPr>
            <w:tcW w:type="dxa" w:w="885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a network and interacting drivers; use quantitative and written evidence; consider benefits and harms.</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Y6</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Judge extent over a defined period; synthesise case studies; address power, missing voices and the limits of evidence.</w:t>
            </w:r>
          </w:p>
        </w:tc>
      </w:tr>
    </w:tbl>
    <w:p>
      <w:pPr>
        <w:spacing w:after="0" w:lineRule="exact" w:line="40"/>
      </w:pPr>
    </w:p>
    <w:p>
      <w:pPr>
        <w:pStyle w:val="Heading2"/>
      </w:pPr>
      <w:r>
        <w:t>End point and assessment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Common outcome  </w:t>
            </w:r>
            <w:r>
              <w:rPr>
                <w:color w:val="263238"/>
                <w:sz w:val="18"/>
              </w:rPr>
              <w:t>Reach a balanced ‘how far’ judgement using selected case studies, explaining both change and continuity and who experienced them.</w:t>
            </w:r>
          </w:p>
        </w:tc>
      </w:tr>
    </w:tbl>
    <w:p>
      <w:pPr>
        <w:spacing w:after="0" w:lineRule="exact" w:line="40"/>
      </w:pPr>
    </w:p>
    <w:p>
      <w:r>
        <w:rPr>
          <w:b/>
          <w:color w:val="17365D"/>
        </w:rPr>
        <w:t xml:space="preserve">Core vocabulary: </w:t>
      </w:r>
      <w:r>
        <w:t>commodity, import, export, network, port, industry, empire, enslavement, consumer, consequence</w:t>
      </w:r>
    </w:p>
    <w:p>
      <w:r>
        <w:br w:type="page"/>
      </w:r>
    </w:p>
    <w:p>
      <w:pPr>
        <w:spacing w:after="60"/>
      </w:pPr>
      <w:r>
        <w:rPr>
          <w:rFonts w:ascii="Aptos" w:hAnsi="Aptos"/>
          <w:b/>
          <w:color w:val="D6A84B"/>
          <w:sz w:val="17"/>
        </w:rPr>
        <w:t>15 • SPRING 2 • YEARS 4/5/6</w:t>
      </w:r>
    </w:p>
    <w:p>
      <w:pPr>
        <w:pStyle w:val="Title"/>
        <w:spacing w:after="100"/>
      </w:pPr>
      <w:r>
        <w:t>How can knowledge change the world?</w:t>
      </w:r>
    </w:p>
    <w:p>
      <w:pPr>
        <w:spacing w:after="200"/>
      </w:pPr>
      <w:r>
        <w:rPr>
          <w:i/>
          <w:color w:val="687386"/>
          <w:sz w:val="22"/>
        </w:rPr>
        <w:t>Cross-curricular historical bridge: when, how and for whom did new knowledge create change?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Enrichment/bridge enquiry in the source overview. Count as History only after a person/development, period and source set are specified.</w:t>
            </w:r>
          </w:p>
        </w:tc>
        <w:tc>
          <w:tcPr>
            <w:tcW w:type="dxa" w:w="7560"/>
            <w:vAlign w:val="center"/>
            <w:tcMar>
              <w:top w:w="70" w:type="dxa"/>
              <w:start w:w="80" w:type="dxa"/>
              <w:bottom w:w="70" w:type="dxa"/>
              <w:end w:w="80" w:type="dxa"/>
            </w:tcMar>
          </w:tcPr>
          <w:p>
            <w:pPr>
              <w:spacing w:after="0" w:line="240" w:lineRule="auto"/>
            </w:pPr>
            <w:r/>
            <w:r>
              <w:rPr>
                <w:rFonts w:ascii="Aptos" w:hAnsi="Aptos"/>
                <w:b w:val="0"/>
                <w:color w:val="263238"/>
                <w:sz w:val="16"/>
              </w:rPr>
              <w:t>Potential KS2 aspect/theme beyond 1066, depending on final content. Also supports disciplinary progression.</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Curriculum note  </w:t>
            </w:r>
            <w:r>
              <w:rPr>
                <w:color w:val="263238"/>
                <w:sz w:val="18"/>
              </w:rPr>
              <w:t>This page supplies a progression framework, not invented content. The subject leader should name the case study before the unit is used as core History.</w:t>
            </w:r>
          </w:p>
        </w:tc>
      </w:tr>
    </w:tbl>
    <w:p>
      <w:pPr>
        <w:spacing w:after="0" w:lineRule="exact" w:line="40"/>
      </w:pPr>
    </w:p>
    <w:p>
      <w:pPr>
        <w:pStyle w:val="Heading2"/>
      </w:pPr>
      <w:r>
        <w:t>Substantive knowledge: what pupils will know</w:t>
      </w:r>
    </w:p>
    <w:p>
      <w:pPr>
        <w:pStyle w:val="ListBullet"/>
        <w:spacing w:after="40"/>
        <w:ind w:left="317" w:hanging="187"/>
      </w:pPr>
      <w:r>
        <w:t>Knowledge develops in particular historical contexts and is often cumulative rather than the work of a single isolated ‘genius’.</w:t>
      </w:r>
    </w:p>
    <w:p>
      <w:pPr>
        <w:pStyle w:val="ListBullet"/>
        <w:spacing w:after="40"/>
        <w:ind w:left="317" w:hanging="187"/>
      </w:pPr>
      <w:r>
        <w:t>A discovery or invention may change production, health, travel, communication or daily life, but effects are rarely immediate or equal.</w:t>
      </w:r>
    </w:p>
    <w:p>
      <w:pPr>
        <w:pStyle w:val="ListBullet"/>
        <w:spacing w:after="40"/>
        <w:ind w:left="317" w:hanging="187"/>
      </w:pPr>
      <w:r>
        <w:t>Credit can reflect power and access to publication; collaborators and marginalised contributors may be overlooked.</w:t>
      </w:r>
    </w:p>
    <w:p>
      <w:pPr>
        <w:pStyle w:val="ListBullet"/>
        <w:spacing w:after="40"/>
        <w:ind w:left="317" w:hanging="187"/>
      </w:pPr>
      <w:r>
        <w:t>Claims about ‘changing the world’ require criteria, evidence and attention to intended and unintended consequences.</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Recurring substantive concepts</w:t>
            </w:r>
          </w:p>
        </w:tc>
        <w:tc>
          <w:tcPr>
            <w:tcW w:type="dxa" w:w="338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Principal disciplinary focus</w:t>
            </w:r>
          </w:p>
        </w:tc>
        <w:tc>
          <w:tcPr>
            <w:tcW w:type="dxa" w:w="345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Useful evidence</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6"/>
              </w:rPr>
              <w:t>knowledge • technology • power • collaboration • change • legacy</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significance; cause/consequence; interpretations</w:t>
            </w:r>
          </w:p>
        </w:tc>
        <w:tc>
          <w:tcPr>
            <w:tcW w:type="dxa" w:w="3456"/>
            <w:vAlign w:val="center"/>
            <w:tcMar>
              <w:top w:w="70" w:type="dxa"/>
              <w:start w:w="80" w:type="dxa"/>
              <w:bottom w:w="70" w:type="dxa"/>
              <w:end w:w="80" w:type="dxa"/>
            </w:tcMar>
          </w:tcPr>
          <w:p>
            <w:pPr>
              <w:spacing w:after="0" w:line="240" w:lineRule="auto"/>
            </w:pPr>
            <w:r/>
            <w:r>
              <w:rPr>
                <w:rFonts w:ascii="Aptos" w:hAnsi="Aptos"/>
                <w:b w:val="0"/>
                <w:color w:val="263238"/>
                <w:sz w:val="16"/>
              </w:rPr>
              <w:t>Primary material linked to selected case; diagrams/patents; contemporary reactions; later biographies/interpretations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885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Expected historical thinking and communication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Y4</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Build a chronological account; identify a change and use a source to support it.</w:t>
            </w:r>
          </w:p>
        </w:tc>
      </w:tr>
      <w:tr>
        <w:trPr>
          <w:cantSplit/>
        </w:trPr>
        <w:tc>
          <w:tcPr>
            <w:tcW w:type="dxa" w:w="108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Y5</w:t>
            </w:r>
          </w:p>
        </w:tc>
        <w:tc>
          <w:tcPr>
            <w:tcW w:type="dxa" w:w="885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Explain enabling conditions and consequences; compare contemporary and later accounts.</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Y6</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Evaluate the ‘great individual’ interpretation and reach a qualified significance judgement.</w:t>
            </w:r>
          </w:p>
        </w:tc>
      </w:tr>
    </w:tbl>
    <w:p>
      <w:pPr>
        <w:spacing w:after="0" w:lineRule="exact" w:line="40"/>
      </w:pPr>
    </w:p>
    <w:p>
      <w:pPr>
        <w:pStyle w:val="Heading2"/>
      </w:pPr>
      <w:r>
        <w:t>End point and assessment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Common outcome  </w:t>
            </w:r>
            <w:r>
              <w:rPr>
                <w:color w:val="263238"/>
                <w:sz w:val="18"/>
              </w:rPr>
              <w:t>Apply significance criteria to decide how far the selected knowledge or development changed the world.</w:t>
            </w:r>
          </w:p>
        </w:tc>
      </w:tr>
    </w:tbl>
    <w:p>
      <w:pPr>
        <w:spacing w:after="0" w:lineRule="exact" w:line="40"/>
      </w:pPr>
    </w:p>
    <w:p>
      <w:r>
        <w:rPr>
          <w:b/>
          <w:color w:val="17365D"/>
        </w:rPr>
        <w:t xml:space="preserve">Core vocabulary: </w:t>
      </w:r>
      <w:r>
        <w:t>discovery, innovation, collaboration, consequence, interpretation, legacy, significance</w:t>
      </w:r>
    </w:p>
    <w:p>
      <w:r>
        <w:br w:type="page"/>
      </w:r>
    </w:p>
    <w:p>
      <w:pPr>
        <w:spacing w:after="60"/>
      </w:pPr>
      <w:r>
        <w:rPr>
          <w:rFonts w:ascii="Aptos" w:hAnsi="Aptos"/>
          <w:b/>
          <w:color w:val="D6A84B"/>
          <w:sz w:val="17"/>
        </w:rPr>
        <w:t>16 • SUMMER 2 • YEARS 4/5/6</w:t>
      </w:r>
    </w:p>
    <w:p>
      <w:pPr>
        <w:pStyle w:val="Title"/>
        <w:spacing w:after="100"/>
      </w:pPr>
      <w:r>
        <w:t>A significant person who brought about change</w:t>
      </w:r>
    </w:p>
    <w:p>
      <w:pPr>
        <w:spacing w:after="200"/>
      </w:pPr>
      <w:r>
        <w:rPr>
          <w:i/>
          <w:color w:val="687386"/>
          <w:sz w:val="22"/>
        </w:rPr>
        <w:t>How significant was the chosen person’s contribution to change?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37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Teaching position</w:t>
            </w:r>
          </w:p>
        </w:tc>
        <w:tc>
          <w:tcPr>
            <w:tcW w:type="dxa" w:w="7560"/>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National Curriculum alignment</w:t>
            </w:r>
          </w:p>
        </w:tc>
      </w:tr>
      <w:tr>
        <w:trPr>
          <w:cantSplit/>
        </w:trPr>
        <w:tc>
          <w:tcPr>
            <w:tcW w:type="dxa" w:w="2376"/>
            <w:vAlign w:val="center"/>
            <w:tcMar>
              <w:top w:w="70" w:type="dxa"/>
              <w:start w:w="80" w:type="dxa"/>
              <w:bottom w:w="70" w:type="dxa"/>
              <w:end w:w="80" w:type="dxa"/>
            </w:tcMar>
          </w:tcPr>
          <w:p>
            <w:pPr>
              <w:spacing w:after="0" w:line="240" w:lineRule="auto"/>
            </w:pPr>
            <w:r/>
            <w:r>
              <w:rPr>
                <w:rFonts w:ascii="Aptos" w:hAnsi="Aptos"/>
                <w:b w:val="0"/>
                <w:color w:val="263238"/>
                <w:sz w:val="16"/>
              </w:rPr>
              <w:t>Shared upper-class enquiry. The person is deliberately not invented here because the source overview leaves the choice open.</w:t>
            </w:r>
          </w:p>
        </w:tc>
        <w:tc>
          <w:tcPr>
            <w:tcW w:type="dxa" w:w="7560"/>
            <w:vAlign w:val="center"/>
            <w:tcMar>
              <w:top w:w="70" w:type="dxa"/>
              <w:start w:w="80" w:type="dxa"/>
              <w:bottom w:w="70" w:type="dxa"/>
              <w:end w:w="80" w:type="dxa"/>
            </w:tcMar>
          </w:tcPr>
          <w:p>
            <w:pPr>
              <w:spacing w:after="0" w:line="240" w:lineRule="auto"/>
            </w:pPr>
            <w:r/>
            <w:r>
              <w:rPr>
                <w:rFonts w:ascii="Aptos" w:hAnsi="Aptos"/>
                <w:b w:val="0"/>
                <w:color w:val="263238"/>
                <w:sz w:val="16"/>
              </w:rPr>
              <w:t>Potential KS2 aspect/theme beyond 1066 or local history study, depending on the person and period selected.</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Curriculum note  </w:t>
            </w:r>
            <w:r>
              <w:rPr>
                <w:color w:val="263238"/>
                <w:sz w:val="18"/>
              </w:rPr>
              <w:t>Selection checklist: complements rather than duplicates prior learning; has a defensible source base; permits diverse perspectives; links to a defined KS2 entitlement; avoids a biography-only sequence.</w:t>
            </w:r>
          </w:p>
        </w:tc>
      </w:tr>
    </w:tbl>
    <w:p>
      <w:pPr>
        <w:spacing w:after="0" w:lineRule="exact" w:line="40"/>
      </w:pPr>
    </w:p>
    <w:p>
      <w:pPr>
        <w:pStyle w:val="Heading2"/>
      </w:pPr>
      <w:r>
        <w:t>Substantive knowledge: what pupils will know</w:t>
      </w:r>
    </w:p>
    <w:p>
      <w:pPr>
        <w:pStyle w:val="ListBullet"/>
        <w:spacing w:after="40"/>
        <w:ind w:left="317" w:hanging="187"/>
      </w:pPr>
      <w:r>
        <w:t>The person’s life must be located securely in time and place and connected to the conditions that enabled or constrained their actions.</w:t>
      </w:r>
    </w:p>
    <w:p>
      <w:pPr>
        <w:pStyle w:val="ListBullet"/>
        <w:spacing w:after="40"/>
        <w:ind w:left="317" w:hanging="187"/>
      </w:pPr>
      <w:r>
        <w:t>Change is rarely produced by one person alone; collaborators, communities, opposition and prior developments must be considered.</w:t>
      </w:r>
    </w:p>
    <w:p>
      <w:pPr>
        <w:pStyle w:val="ListBullet"/>
        <w:spacing w:after="40"/>
        <w:ind w:left="317" w:hanging="187"/>
      </w:pPr>
      <w:r>
        <w:t>Significance is a historical judgement based on criteria such as depth, breadth, duration, contemporary importance and later legacy.</w:t>
      </w:r>
    </w:p>
    <w:p>
      <w:pPr>
        <w:pStyle w:val="ListBullet"/>
        <w:spacing w:after="40"/>
        <w:ind w:left="317" w:hanging="187"/>
      </w:pPr>
      <w:r>
        <w:t>Biographies are interpretations: they select, organise and emphasise evidence, and may create heroic or simplified narratives.</w:t>
      </w:r>
    </w:p>
    <w:p>
      <w:pPr>
        <w:pStyle w:val="ListBullet"/>
        <w:spacing w:after="40"/>
        <w:ind w:left="317" w:hanging="187"/>
      </w:pPr>
      <w:r>
        <w:t>The selection should broaden pupils’ historical knowledge and contribute to the school’s commitment to diversity, dignity and responsible citizenship.</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Recurring substantive concepts</w:t>
            </w:r>
          </w:p>
        </w:tc>
        <w:tc>
          <w:tcPr>
            <w:tcW w:type="dxa" w:w="3384"/>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Principal disciplinary focus</w:t>
            </w:r>
          </w:p>
        </w:tc>
        <w:tc>
          <w:tcPr>
            <w:tcW w:type="dxa" w:w="345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6"/>
              </w:rPr>
              <w:t>Useful evidence</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6"/>
              </w:rPr>
              <w:t>agency • power • change • diversity • commemoration • legacy</w:t>
            </w:r>
          </w:p>
        </w:tc>
        <w:tc>
          <w:tcPr>
            <w:tcW w:type="dxa" w:w="3384"/>
            <w:vAlign w:val="center"/>
            <w:tcMar>
              <w:top w:w="70" w:type="dxa"/>
              <w:start w:w="80" w:type="dxa"/>
              <w:bottom w:w="70" w:type="dxa"/>
              <w:end w:w="80" w:type="dxa"/>
            </w:tcMar>
          </w:tcPr>
          <w:p>
            <w:pPr>
              <w:spacing w:after="0" w:line="240" w:lineRule="auto"/>
            </w:pPr>
            <w:r/>
            <w:r>
              <w:rPr>
                <w:rFonts w:ascii="Aptos" w:hAnsi="Aptos"/>
                <w:b w:val="0"/>
                <w:color w:val="263238"/>
                <w:sz w:val="16"/>
              </w:rPr>
              <w:t>significance; interpretations; evidence; consequence</w:t>
            </w:r>
          </w:p>
        </w:tc>
        <w:tc>
          <w:tcPr>
            <w:tcW w:type="dxa" w:w="3456"/>
            <w:vAlign w:val="center"/>
            <w:tcMar>
              <w:top w:w="70" w:type="dxa"/>
              <w:start w:w="80" w:type="dxa"/>
              <w:bottom w:w="70" w:type="dxa"/>
              <w:end w:w="80" w:type="dxa"/>
            </w:tcMar>
          </w:tcPr>
          <w:p>
            <w:pPr>
              <w:spacing w:after="0" w:line="240" w:lineRule="auto"/>
            </w:pPr>
            <w:r/>
            <w:r>
              <w:rPr>
                <w:rFonts w:ascii="Aptos" w:hAnsi="Aptos"/>
                <w:b w:val="0"/>
                <w:color w:val="263238"/>
                <w:sz w:val="16"/>
              </w:rPr>
              <w:t>Contemporary records/objects; letters or speeches where suitable; photographs; institutional records; contrasting biographies and commemorations</w:t>
            </w:r>
          </w:p>
        </w:tc>
      </w:tr>
    </w:tbl>
    <w:p>
      <w:pPr>
        <w:spacing w:after="0" w:lineRule="exact" w:line="40"/>
      </w:pPr>
    </w:p>
    <w:p>
      <w:pPr>
        <w:pStyle w:val="Heading2"/>
      </w:pPr>
      <w:r>
        <w:t>Year-on-year expectation within the shared enquiry</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08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Year</w:t>
            </w:r>
          </w:p>
        </w:tc>
        <w:tc>
          <w:tcPr>
            <w:tcW w:type="dxa" w:w="885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6"/>
              </w:rPr>
              <w:t>Expected historical thinking and communication</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Y4</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Sequence key actions and consequences; distinguish fact from a later claim; apply one significance criterion.</w:t>
            </w:r>
          </w:p>
        </w:tc>
      </w:tr>
      <w:tr>
        <w:trPr>
          <w:cantSplit/>
        </w:trPr>
        <w:tc>
          <w:tcPr>
            <w:tcW w:type="dxa" w:w="1080"/>
            <w:vAlign w:val="center"/>
            <w:tcMar>
              <w:top w:w="70" w:type="dxa"/>
              <w:start w:w="80" w:type="dxa"/>
              <w:bottom w:w="70" w:type="dxa"/>
              <w:end w:w="80" w:type="dxa"/>
            </w:tcMar>
            <w:shd w:fill="F7F8FA"/>
          </w:tcPr>
          <w:p>
            <w:pPr>
              <w:spacing w:after="0" w:line="240" w:lineRule="auto"/>
            </w:pPr>
            <w:r/>
            <w:r>
              <w:rPr>
                <w:rFonts w:ascii="Aptos" w:hAnsi="Aptos"/>
                <w:b w:val="0"/>
                <w:color w:val="263238"/>
                <w:sz w:val="16"/>
              </w:rPr>
              <w:t>Y5</w:t>
            </w:r>
          </w:p>
        </w:tc>
        <w:tc>
          <w:tcPr>
            <w:tcW w:type="dxa" w:w="8856"/>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Compare interpretations; explain context and collaboration; apply several criteria.</w:t>
            </w:r>
          </w:p>
        </w:tc>
      </w:tr>
      <w:tr>
        <w:trPr>
          <w:cantSplit/>
        </w:trPr>
        <w:tc>
          <w:tcPr>
            <w:tcW w:type="dxa" w:w="1080"/>
            <w:vAlign w:val="center"/>
            <w:tcMar>
              <w:top w:w="70" w:type="dxa"/>
              <w:start w:w="80" w:type="dxa"/>
              <w:bottom w:w="70" w:type="dxa"/>
              <w:end w:w="80" w:type="dxa"/>
            </w:tcMar>
          </w:tcPr>
          <w:p>
            <w:pPr>
              <w:spacing w:after="0" w:line="240" w:lineRule="auto"/>
            </w:pPr>
            <w:r/>
            <w:r>
              <w:rPr>
                <w:rFonts w:ascii="Aptos" w:hAnsi="Aptos"/>
                <w:b w:val="0"/>
                <w:color w:val="263238"/>
                <w:sz w:val="16"/>
              </w:rPr>
              <w:t>Y6</w:t>
            </w:r>
          </w:p>
        </w:tc>
        <w:tc>
          <w:tcPr>
            <w:tcW w:type="dxa" w:w="8856"/>
            <w:vAlign w:val="center"/>
            <w:tcMar>
              <w:top w:w="70" w:type="dxa"/>
              <w:start w:w="80" w:type="dxa"/>
              <w:bottom w:w="70" w:type="dxa"/>
              <w:end w:w="80" w:type="dxa"/>
            </w:tcMar>
          </w:tcPr>
          <w:p>
            <w:pPr>
              <w:spacing w:after="0" w:line="240" w:lineRule="auto"/>
            </w:pPr>
            <w:r/>
            <w:r>
              <w:rPr>
                <w:rFonts w:ascii="Aptos" w:hAnsi="Aptos"/>
                <w:b w:val="0"/>
                <w:color w:val="263238"/>
                <w:sz w:val="16"/>
              </w:rPr>
              <w:t>Evaluate legacy and contested interpretation; synthesise evidence into a balanced, qualified judgement.</w:t>
            </w:r>
          </w:p>
        </w:tc>
      </w:tr>
    </w:tbl>
    <w:p>
      <w:pPr>
        <w:spacing w:after="0" w:lineRule="exact" w:line="40"/>
      </w:pPr>
    </w:p>
    <w:p>
      <w:pPr>
        <w:pStyle w:val="Heading2"/>
      </w:pPr>
      <w:r>
        <w:t>End point and assessment</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Common outcome  </w:t>
            </w:r>
            <w:r>
              <w:rPr>
                <w:color w:val="263238"/>
                <w:sz w:val="18"/>
              </w:rPr>
              <w:t>Produce a criteria-led judgement: significant to whom, at the time or later, in what ways, and with what limitations?</w:t>
            </w:r>
          </w:p>
        </w:tc>
      </w:tr>
    </w:tbl>
    <w:p>
      <w:pPr>
        <w:spacing w:after="0" w:lineRule="exact" w:line="40"/>
      </w:pPr>
    </w:p>
    <w:p>
      <w:r>
        <w:rPr>
          <w:b/>
          <w:color w:val="17365D"/>
        </w:rPr>
        <w:t xml:space="preserve">Core vocabulary: </w:t>
      </w:r>
      <w:r>
        <w:t>significance, context, agency, contribution, interpretation, commemoration, legacy, criteria</w:t>
      </w:r>
    </w:p>
    <w:p>
      <w:r>
        <w:br w:type="page"/>
      </w:r>
    </w:p>
    <w:p>
      <w:pPr>
        <w:spacing w:after="60"/>
      </w:pPr>
      <w:r>
        <w:rPr>
          <w:rFonts w:ascii="Aptos" w:hAnsi="Aptos"/>
          <w:b/>
          <w:color w:val="D6A84B"/>
          <w:sz w:val="17"/>
        </w:rPr>
        <w:t>17 • ASSESSMENT</w:t>
      </w:r>
    </w:p>
    <w:p>
      <w:pPr>
        <w:pStyle w:val="Title"/>
        <w:spacing w:after="100"/>
      </w:pPr>
      <w:r>
        <w:t>Knowing, remembering and thinking historically</w:t>
      </w:r>
    </w:p>
    <w:p>
      <w:pPr>
        <w:pStyle w:val="Heading2"/>
      </w:pPr>
      <w:r>
        <w:t>Assessment cycle</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2448"/>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Before</w:t>
            </w:r>
          </w:p>
        </w:tc>
        <w:tc>
          <w:tcPr>
            <w:tcW w:type="dxa" w:w="2592"/>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During</w:t>
            </w:r>
          </w:p>
        </w:tc>
        <w:tc>
          <w:tcPr>
            <w:tcW w:type="dxa" w:w="2520"/>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End point</w:t>
            </w:r>
          </w:p>
        </w:tc>
        <w:tc>
          <w:tcPr>
            <w:tcW w:type="dxa" w:w="2520"/>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Later</w:t>
            </w:r>
          </w:p>
        </w:tc>
      </w:tr>
      <w:tr>
        <w:trPr>
          <w:cantSplit/>
        </w:trPr>
        <w:tc>
          <w:tcPr>
            <w:tcW w:type="dxa" w:w="2448"/>
            <w:vAlign w:val="center"/>
            <w:tcMar>
              <w:top w:w="70" w:type="dxa"/>
              <w:start w:w="80" w:type="dxa"/>
              <w:bottom w:w="70" w:type="dxa"/>
              <w:end w:w="80" w:type="dxa"/>
            </w:tcMar>
          </w:tcPr>
          <w:p>
            <w:pPr>
              <w:spacing w:after="0" w:line="240" w:lineRule="auto"/>
            </w:pPr>
            <w:r/>
            <w:r>
              <w:rPr>
                <w:rFonts w:ascii="Aptos" w:hAnsi="Aptos"/>
                <w:b w:val="0"/>
                <w:color w:val="263238"/>
                <w:sz w:val="16"/>
              </w:rPr>
              <w:t>Check prerequisite chronology, vocabulary and connected concepts.</w:t>
            </w:r>
          </w:p>
        </w:tc>
        <w:tc>
          <w:tcPr>
            <w:tcW w:type="dxa" w:w="2592"/>
            <w:vAlign w:val="center"/>
            <w:tcMar>
              <w:top w:w="70" w:type="dxa"/>
              <w:start w:w="80" w:type="dxa"/>
              <w:bottom w:w="70" w:type="dxa"/>
              <w:end w:w="80" w:type="dxa"/>
            </w:tcMar>
          </w:tcPr>
          <w:p>
            <w:pPr>
              <w:spacing w:after="0" w:line="240" w:lineRule="auto"/>
            </w:pPr>
            <w:r/>
            <w:r>
              <w:rPr>
                <w:rFonts w:ascii="Aptos" w:hAnsi="Aptos"/>
                <w:b w:val="0"/>
                <w:color w:val="263238"/>
                <w:sz w:val="16"/>
              </w:rPr>
              <w:t>Use questioning, retrieval, timeline/source tasks and pupil explanation to adapt teaching.</w:t>
            </w:r>
          </w:p>
        </w:tc>
        <w:tc>
          <w:tcPr>
            <w:tcW w:type="dxa" w:w="2520"/>
            <w:vAlign w:val="center"/>
            <w:tcMar>
              <w:top w:w="70" w:type="dxa"/>
              <w:start w:w="80" w:type="dxa"/>
              <w:bottom w:w="70" w:type="dxa"/>
              <w:end w:w="80" w:type="dxa"/>
            </w:tcMar>
          </w:tcPr>
          <w:p>
            <w:pPr>
              <w:spacing w:after="0" w:line="240" w:lineRule="auto"/>
            </w:pPr>
            <w:r/>
            <w:r>
              <w:rPr>
                <w:rFonts w:ascii="Aptos" w:hAnsi="Aptos"/>
                <w:b w:val="0"/>
                <w:color w:val="263238"/>
                <w:sz w:val="16"/>
              </w:rPr>
              <w:t>Assess the common enquiry with year-specific success criteria.</w:t>
            </w:r>
          </w:p>
        </w:tc>
        <w:tc>
          <w:tcPr>
            <w:tcW w:type="dxa" w:w="2520"/>
            <w:vAlign w:val="center"/>
            <w:tcMar>
              <w:top w:w="70" w:type="dxa"/>
              <w:start w:w="80" w:type="dxa"/>
              <w:bottom w:w="70" w:type="dxa"/>
              <w:end w:w="80" w:type="dxa"/>
            </w:tcMar>
          </w:tcPr>
          <w:p>
            <w:pPr>
              <w:spacing w:after="0" w:line="240" w:lineRule="auto"/>
            </w:pPr>
            <w:r/>
            <w:r>
              <w:rPr>
                <w:rFonts w:ascii="Aptos" w:hAnsi="Aptos"/>
                <w:b w:val="0"/>
                <w:color w:val="263238"/>
                <w:sz w:val="16"/>
              </w:rPr>
              <w:t>Revisit essential knowledge and concepts in later units; sample books and pupil voice.</w:t>
            </w:r>
          </w:p>
        </w:tc>
      </w:tr>
    </w:tbl>
    <w:p>
      <w:pPr>
        <w:spacing w:after="0" w:lineRule="exact" w:line="40"/>
      </w:pPr>
    </w:p>
    <w:p>
      <w:pPr>
        <w:pStyle w:val="Heading2"/>
      </w:pPr>
      <w:r>
        <w:t>What teachers assess</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232"/>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Dimension</w:t>
            </w:r>
          </w:p>
        </w:tc>
        <w:tc>
          <w:tcPr>
            <w:tcW w:type="dxa" w:w="7848"/>
            <w:vAlign w:val="center"/>
            <w:tcMar>
              <w:top w:w="70" w:type="dxa"/>
              <w:start w:w="80" w:type="dxa"/>
              <w:bottom w:w="70" w:type="dxa"/>
              <w:end w:w="80" w:type="dxa"/>
            </w:tcMar>
            <w:shd w:fill="3C78A8"/>
          </w:tcPr>
          <w:p>
            <w:pPr>
              <w:spacing w:after="0" w:line="240" w:lineRule="auto"/>
              <w:jc w:val="center"/>
            </w:pPr>
            <w:r/>
            <w:r>
              <w:rPr>
                <w:rFonts w:ascii="Aptos" w:hAnsi="Aptos"/>
                <w:b/>
                <w:color w:val="FFFFFF"/>
                <w:sz w:val="16"/>
              </w:rPr>
              <w:t>Look for</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Substantive security</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Accurate, connected knowledge of people, events, places, period, vocabulary and recurring concepts.</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Chronological security</w:t>
            </w:r>
          </w:p>
        </w:tc>
        <w:tc>
          <w:tcPr>
            <w:tcW w:type="dxa" w:w="7848"/>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Correct sequence, duration, interval, dates/period terms and links to prior learning.</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Use of evidence</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Relevant selection, inference, provenance, corroboration and acknowledgement of limits.</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Historical explanation</w:t>
            </w:r>
          </w:p>
        </w:tc>
        <w:tc>
          <w:tcPr>
            <w:tcW w:type="dxa" w:w="7848"/>
            <w:vAlign w:val="center"/>
            <w:tcMar>
              <w:top w:w="70" w:type="dxa"/>
              <w:start w:w="80" w:type="dxa"/>
              <w:bottom w:w="70" w:type="dxa"/>
              <w:end w:w="80" w:type="dxa"/>
            </w:tcMar>
            <w:shd w:fill="F7F8FA"/>
          </w:tcPr>
          <w:p>
            <w:pPr>
              <w:spacing w:after="0" w:line="240" w:lineRule="auto"/>
            </w:pPr>
            <w:r/>
            <w:r>
              <w:rPr>
                <w:rFonts w:ascii="Aptos" w:hAnsi="Aptos"/>
                <w:b w:val="0"/>
                <w:color w:val="263238"/>
                <w:sz w:val="16"/>
              </w:rPr>
              <w:t>Reasoned cause/consequence, change/continuity, comparison or significance appropriate to the enquiry.</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Communication</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A direct answer, coherent organisation, precise vocabulary, evidence and a justified conclusion.</w:t>
            </w:r>
          </w:p>
        </w:tc>
      </w:tr>
    </w:tbl>
    <w:p>
      <w:pPr>
        <w:spacing w:after="0" w:lineRule="exact" w:line="40"/>
      </w:pPr>
    </w:p>
    <w:p>
      <w:pPr>
        <w:pStyle w:val="Heading2"/>
      </w:pPr>
      <w:r>
        <w:t>Mixed-age evidence</w:t>
      </w:r>
    </w:p>
    <w:p>
      <w:pPr>
        <w:pStyle w:val="ListBullet"/>
        <w:spacing w:after="40"/>
        <w:ind w:left="317" w:hanging="187"/>
      </w:pPr>
      <w:r>
        <w:t>Use the same enquiry but record the expected year-group demand on planning and assessment sheets.</w:t>
      </w:r>
    </w:p>
    <w:p>
      <w:pPr>
        <w:pStyle w:val="ListBullet"/>
        <w:spacing w:after="40"/>
        <w:ind w:left="317" w:hanging="187"/>
      </w:pPr>
      <w:r>
        <w:t>Allow oral, visual or scaffolded responses where appropriate; keep the historical thinking ambitious.</w:t>
      </w:r>
    </w:p>
    <w:p>
      <w:pPr>
        <w:pStyle w:val="ListBullet"/>
        <w:spacing w:after="40"/>
        <w:ind w:left="317" w:hanging="187"/>
      </w:pPr>
      <w:r>
        <w:t>Do not equate a longer piece of writing with deeper historical understanding.</w:t>
      </w:r>
    </w:p>
    <w:p>
      <w:pPr>
        <w:pStyle w:val="ListBullet"/>
        <w:spacing w:after="40"/>
        <w:ind w:left="317" w:hanging="187"/>
      </w:pPr>
      <w:r>
        <w:t>Moderate a small sample across Y1–Y6 using the progression statements in this document.</w:t>
      </w:r>
    </w:p>
    <w:p>
      <w:pPr>
        <w:pStyle w:val="ListBullet"/>
        <w:spacing w:after="40"/>
        <w:ind w:left="317" w:hanging="187"/>
      </w:pPr>
      <w:r>
        <w:t>Record pupils who need essential knowledge revisited and pupils ready for deeper source or interpretive challenge.</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3C78A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AF2F8"/>
            <w:tcMar>
              <w:top w:w="90" w:type="dxa"/>
              <w:start w:w="110" w:type="dxa"/>
              <w:bottom w:w="90" w:type="dxa"/>
              <w:end w:w="110" w:type="dxa"/>
            </w:tcMar>
            <w:vAlign w:val="center"/>
          </w:tcPr>
          <w:p>
            <w:pPr>
              <w:spacing w:after="20"/>
            </w:pPr>
            <w:r/>
            <w:r>
              <w:rPr>
                <w:b/>
                <w:color w:val="3C78A8"/>
                <w:sz w:val="18"/>
              </w:rPr>
              <w:t xml:space="preserve">A secure pupil response  </w:t>
            </w:r>
            <w:r>
              <w:rPr>
                <w:color w:val="263238"/>
                <w:sz w:val="18"/>
              </w:rPr>
              <w:t>Answers the actual question; uses accurate taught knowledge; applies the designated disciplinary lens; refers to evidence; and reaches a conclusion at the expected level of independence.</w:t>
            </w:r>
          </w:p>
        </w:tc>
      </w:tr>
    </w:tbl>
    <w:p>
      <w:pPr>
        <w:spacing w:after="0" w:lineRule="exact" w:line="40"/>
      </w:pPr>
    </w:p>
    <w:p>
      <w:r>
        <w:br w:type="page"/>
      </w:r>
    </w:p>
    <w:p>
      <w:pPr>
        <w:spacing w:after="60"/>
      </w:pPr>
      <w:r>
        <w:rPr>
          <w:rFonts w:ascii="Aptos" w:hAnsi="Aptos"/>
          <w:b/>
          <w:color w:val="D6A84B"/>
          <w:sz w:val="17"/>
        </w:rPr>
        <w:t>18 • IMPLEMENTATION</w:t>
      </w:r>
    </w:p>
    <w:p>
      <w:pPr>
        <w:pStyle w:val="Title"/>
        <w:spacing w:after="100"/>
      </w:pPr>
      <w:r>
        <w:t>Planning requirements and subject-leader checks</w:t>
      </w:r>
    </w:p>
    <w:p>
      <w:pPr>
        <w:pStyle w:val="Heading2"/>
      </w:pPr>
      <w:r>
        <w:t>Every unit plan should record</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223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Element</w:t>
            </w:r>
          </w:p>
        </w:tc>
        <w:tc>
          <w:tcPr>
            <w:tcW w:type="dxa" w:w="7848"/>
            <w:vAlign w:val="center"/>
            <w:tcMar>
              <w:top w:w="70" w:type="dxa"/>
              <w:start w:w="80" w:type="dxa"/>
              <w:bottom w:w="70" w:type="dxa"/>
              <w:end w:w="80" w:type="dxa"/>
            </w:tcMar>
            <w:shd w:fill="17365D"/>
          </w:tcPr>
          <w:p>
            <w:pPr>
              <w:spacing w:after="0" w:line="240" w:lineRule="auto"/>
              <w:jc w:val="center"/>
            </w:pPr>
            <w:r/>
            <w:r>
              <w:rPr>
                <w:rFonts w:ascii="Aptos" w:hAnsi="Aptos"/>
                <w:b/>
                <w:color w:val="FFFFFF"/>
                <w:sz w:val="16"/>
              </w:rPr>
              <w:t>Non-negotiable</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Enquiry</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One answerable historical question, not merely a topic title.</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Chronological frame</w:t>
            </w:r>
          </w:p>
        </w:tc>
        <w:tc>
          <w:tcPr>
            <w:tcW w:type="dxa" w:w="7848"/>
            <w:vAlign w:val="center"/>
            <w:tcMar>
              <w:top w:w="70" w:type="dxa"/>
              <w:start w:w="80" w:type="dxa"/>
              <w:bottom w:w="70" w:type="dxa"/>
              <w:end w:w="80" w:type="dxa"/>
            </w:tcMar>
            <w:shd w:fill="F7F8FA"/>
          </w:tcPr>
          <w:p>
            <w:pPr>
              <w:spacing w:after="0" w:line="240" w:lineRule="auto"/>
            </w:pPr>
            <w:r/>
            <w:r>
              <w:rPr>
                <w:rFonts w:ascii="Aptos" w:hAnsi="Aptos"/>
                <w:b w:val="0"/>
                <w:color w:val="263238"/>
                <w:sz w:val="16"/>
              </w:rPr>
              <w:t>Start/end dates or period, timeline position and links to previous learning.</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Essential knowledge</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A manageable set of facts, people, places and vocabulary pupils will retain.</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Conceptual thread</w:t>
            </w:r>
          </w:p>
        </w:tc>
        <w:tc>
          <w:tcPr>
            <w:tcW w:type="dxa" w:w="7848"/>
            <w:vAlign w:val="center"/>
            <w:tcMar>
              <w:top w:w="70" w:type="dxa"/>
              <w:start w:w="80" w:type="dxa"/>
              <w:bottom w:w="70" w:type="dxa"/>
              <w:end w:w="80" w:type="dxa"/>
            </w:tcMar>
            <w:shd w:fill="F7F8FA"/>
          </w:tcPr>
          <w:p>
            <w:pPr>
              <w:spacing w:after="0" w:line="240" w:lineRule="auto"/>
            </w:pPr>
            <w:r/>
            <w:r>
              <w:rPr>
                <w:rFonts w:ascii="Aptos" w:hAnsi="Aptos"/>
                <w:b w:val="0"/>
                <w:color w:val="263238"/>
                <w:sz w:val="16"/>
              </w:rPr>
              <w:t>The recurring substantive concepts being strengthened.</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Disciplinary focus</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One or two principal lenses explicitly taught and assessed.</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Evidence set</w:t>
            </w:r>
          </w:p>
        </w:tc>
        <w:tc>
          <w:tcPr>
            <w:tcW w:type="dxa" w:w="7848"/>
            <w:vAlign w:val="center"/>
            <w:tcMar>
              <w:top w:w="70" w:type="dxa"/>
              <w:start w:w="80" w:type="dxa"/>
              <w:bottom w:w="70" w:type="dxa"/>
              <w:end w:w="80" w:type="dxa"/>
            </w:tcMar>
            <w:shd w:fill="F7F8FA"/>
          </w:tcPr>
          <w:p>
            <w:pPr>
              <w:spacing w:after="0" w:line="240" w:lineRule="auto"/>
            </w:pPr>
            <w:r/>
            <w:r>
              <w:rPr>
                <w:rFonts w:ascii="Aptos" w:hAnsi="Aptos"/>
                <w:b w:val="0"/>
                <w:color w:val="263238"/>
                <w:sz w:val="16"/>
              </w:rPr>
              <w:t>A purposeful range with provenance; what each source can and cannot answer.</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Year-group demand</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Distinct Y1–Y6 expectations within the shared mixed-age teaching.</w:t>
            </w:r>
          </w:p>
        </w:tc>
      </w:tr>
      <w:tr>
        <w:trPr>
          <w:cantSplit/>
        </w:trPr>
        <w:tc>
          <w:tcPr>
            <w:tcW w:type="dxa" w:w="2232"/>
            <w:vAlign w:val="center"/>
            <w:tcMar>
              <w:top w:w="70" w:type="dxa"/>
              <w:start w:w="80" w:type="dxa"/>
              <w:bottom w:w="70" w:type="dxa"/>
              <w:end w:w="80" w:type="dxa"/>
            </w:tcMar>
            <w:shd w:fill="F7F8FA"/>
          </w:tcPr>
          <w:p>
            <w:pPr>
              <w:spacing w:after="0" w:line="240" w:lineRule="auto"/>
            </w:pPr>
            <w:r/>
            <w:r>
              <w:rPr>
                <w:rFonts w:ascii="Aptos" w:hAnsi="Aptos"/>
                <w:b w:val="0"/>
                <w:color w:val="263238"/>
                <w:sz w:val="16"/>
              </w:rPr>
              <w:t>Diversity and dignity</w:t>
            </w:r>
          </w:p>
        </w:tc>
        <w:tc>
          <w:tcPr>
            <w:tcW w:type="dxa" w:w="7848"/>
            <w:vAlign w:val="center"/>
            <w:tcMar>
              <w:top w:w="70" w:type="dxa"/>
              <w:start w:w="80" w:type="dxa"/>
              <w:bottom w:w="70" w:type="dxa"/>
              <w:end w:w="80" w:type="dxa"/>
            </w:tcMar>
            <w:shd w:fill="F7F8FA"/>
          </w:tcPr>
          <w:p>
            <w:pPr>
              <w:spacing w:after="0" w:line="240" w:lineRule="auto"/>
            </w:pPr>
            <w:r/>
            <w:r>
              <w:rPr>
                <w:rFonts w:ascii="Aptos" w:hAnsi="Aptos"/>
                <w:b w:val="0"/>
                <w:color w:val="263238"/>
                <w:sz w:val="16"/>
              </w:rPr>
              <w:t>Whose experiences are included, absent or represented by others; careful language.</w:t>
            </w:r>
          </w:p>
        </w:tc>
      </w:tr>
      <w:tr>
        <w:trPr>
          <w:cantSplit/>
        </w:trPr>
        <w:tc>
          <w:tcPr>
            <w:tcW w:type="dxa" w:w="2232"/>
            <w:vAlign w:val="center"/>
            <w:tcMar>
              <w:top w:w="70" w:type="dxa"/>
              <w:start w:w="80" w:type="dxa"/>
              <w:bottom w:w="70" w:type="dxa"/>
              <w:end w:w="80" w:type="dxa"/>
            </w:tcMar>
          </w:tcPr>
          <w:p>
            <w:pPr>
              <w:spacing w:after="0" w:line="240" w:lineRule="auto"/>
            </w:pPr>
            <w:r/>
            <w:r>
              <w:rPr>
                <w:rFonts w:ascii="Aptos" w:hAnsi="Aptos"/>
                <w:b w:val="0"/>
                <w:color w:val="263238"/>
                <w:sz w:val="16"/>
              </w:rPr>
              <w:t>End point</w:t>
            </w:r>
          </w:p>
        </w:tc>
        <w:tc>
          <w:tcPr>
            <w:tcW w:type="dxa" w:w="7848"/>
            <w:vAlign w:val="center"/>
            <w:tcMar>
              <w:top w:w="70" w:type="dxa"/>
              <w:start w:w="80" w:type="dxa"/>
              <w:bottom w:w="70" w:type="dxa"/>
              <w:end w:w="80" w:type="dxa"/>
            </w:tcMar>
          </w:tcPr>
          <w:p>
            <w:pPr>
              <w:spacing w:after="0" w:line="240" w:lineRule="auto"/>
            </w:pPr>
            <w:r/>
            <w:r>
              <w:rPr>
                <w:rFonts w:ascii="Aptos" w:hAnsi="Aptos"/>
                <w:b w:val="0"/>
                <w:color w:val="263238"/>
                <w:sz w:val="16"/>
              </w:rPr>
              <w:t>An outcome and success criteria that directly answer the enquiry.</w:t>
            </w:r>
          </w:p>
        </w:tc>
      </w:tr>
    </w:tbl>
    <w:p>
      <w:pPr>
        <w:spacing w:after="0" w:lineRule="exact" w:line="40"/>
      </w:pPr>
    </w:p>
    <w:p>
      <w:pPr>
        <w:pStyle w:val="Heading2"/>
      </w:pPr>
      <w:r>
        <w:t>Immediate alignment actions for 2026–27</w:t>
      </w:r>
    </w:p>
    <w:tbl>
      <w:tblPr>
        <w:tblStyle w:val="TableGrid"/>
        <w:tblW w:type="auto" w:w="0"/>
        <w:jc w:val="center"/>
        <w:tblLayout w:type="fixed"/>
        <w:tblLook w:firstColumn="1" w:firstRow="1" w:lastColumn="0" w:lastRow="0" w:noHBand="0" w:noVBand="1" w:val="04A0"/>
      </w:tblPr>
      <w:tblGrid>
        <w:gridCol w:w="3413"/>
        <w:gridCol w:w="3413"/>
        <w:gridCol w:w="3413"/>
      </w:tblGrid>
      <w:tr>
        <w:trPr>
          <w:cantSplit/>
        </w:trPr>
        <w:tc>
          <w:tcPr>
            <w:tcW w:type="dxa" w:w="792"/>
            <w:vAlign w:val="center"/>
            <w:tcMar>
              <w:top w:w="70" w:type="dxa"/>
              <w:start w:w="80" w:type="dxa"/>
              <w:bottom w:w="70" w:type="dxa"/>
              <w:end w:w="80" w:type="dxa"/>
            </w:tcMar>
            <w:shd w:fill="A33B3B"/>
          </w:tcPr>
          <w:p>
            <w:pPr>
              <w:spacing w:after="0" w:line="240" w:lineRule="auto"/>
              <w:jc w:val="center"/>
            </w:pPr>
            <w:r/>
            <w:r>
              <w:rPr>
                <w:rFonts w:ascii="Aptos" w:hAnsi="Aptos"/>
                <w:b/>
                <w:color w:val="FFFFFF"/>
                <w:sz w:val="15"/>
              </w:rPr>
              <w:t>Priority</w:t>
            </w:r>
          </w:p>
        </w:tc>
        <w:tc>
          <w:tcPr>
            <w:tcW w:type="dxa" w:w="6984"/>
            <w:vAlign w:val="center"/>
            <w:tcMar>
              <w:top w:w="70" w:type="dxa"/>
              <w:start w:w="80" w:type="dxa"/>
              <w:bottom w:w="70" w:type="dxa"/>
              <w:end w:w="80" w:type="dxa"/>
            </w:tcMar>
            <w:shd w:fill="A33B3B"/>
          </w:tcPr>
          <w:p>
            <w:pPr>
              <w:spacing w:after="0" w:line="240" w:lineRule="auto"/>
              <w:jc w:val="center"/>
            </w:pPr>
            <w:r/>
            <w:r>
              <w:rPr>
                <w:rFonts w:ascii="Aptos" w:hAnsi="Aptos"/>
                <w:b/>
                <w:color w:val="FFFFFF"/>
                <w:sz w:val="15"/>
              </w:rPr>
              <w:t>Action</w:t>
            </w:r>
          </w:p>
        </w:tc>
        <w:tc>
          <w:tcPr>
            <w:tcW w:type="dxa" w:w="2304"/>
            <w:vAlign w:val="center"/>
            <w:tcMar>
              <w:top w:w="70" w:type="dxa"/>
              <w:start w:w="80" w:type="dxa"/>
              <w:bottom w:w="70" w:type="dxa"/>
              <w:end w:w="80" w:type="dxa"/>
            </w:tcMar>
            <w:shd w:fill="A33B3B"/>
          </w:tcPr>
          <w:p>
            <w:pPr>
              <w:spacing w:after="0" w:line="240" w:lineRule="auto"/>
              <w:jc w:val="center"/>
            </w:pPr>
            <w:r/>
            <w:r>
              <w:rPr>
                <w:rFonts w:ascii="Aptos" w:hAnsi="Aptos"/>
                <w:b/>
                <w:color w:val="FFFFFF"/>
                <w:sz w:val="15"/>
              </w:rPr>
              <w:t>Owner/check</w:t>
            </w:r>
          </w:p>
        </w:tc>
      </w:tr>
      <w:tr>
        <w:trPr>
          <w:cantSplit/>
        </w:trPr>
        <w:tc>
          <w:tcPr>
            <w:tcW w:type="dxa" w:w="792"/>
            <w:vAlign w:val="center"/>
            <w:tcMar>
              <w:top w:w="70" w:type="dxa"/>
              <w:start w:w="80" w:type="dxa"/>
              <w:bottom w:w="70" w:type="dxa"/>
              <w:end w:w="80" w:type="dxa"/>
            </w:tcMar>
          </w:tcPr>
          <w:p>
            <w:pPr>
              <w:spacing w:after="0" w:line="240" w:lineRule="auto"/>
            </w:pPr>
            <w:r/>
            <w:r>
              <w:rPr>
                <w:rFonts w:ascii="Aptos" w:hAnsi="Aptos"/>
                <w:b w:val="0"/>
                <w:color w:val="263238"/>
                <w:sz w:val="15"/>
              </w:rPr>
              <w:t>1</w:t>
            </w:r>
          </w:p>
        </w:tc>
        <w:tc>
          <w:tcPr>
            <w:tcW w:type="dxa" w:w="6984"/>
            <w:vAlign w:val="center"/>
            <w:tcMar>
              <w:top w:w="70" w:type="dxa"/>
              <w:start w:w="80" w:type="dxa"/>
              <w:bottom w:w="70" w:type="dxa"/>
              <w:end w:w="80" w:type="dxa"/>
            </w:tcMar>
          </w:tcPr>
          <w:p>
            <w:pPr>
              <w:spacing w:after="0" w:line="240" w:lineRule="auto"/>
            </w:pPr>
            <w:r/>
            <w:r>
              <w:rPr>
                <w:rFonts w:ascii="Aptos" w:hAnsi="Aptos"/>
                <w:b w:val="0"/>
                <w:color w:val="263238"/>
                <w:sz w:val="15"/>
              </w:rPr>
              <w:t>Relabel the whole-school source overview to Y1/2/3 and Y4/5/6 so all curriculum documents agree.</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Before publication</w:t>
            </w:r>
          </w:p>
        </w:tc>
      </w:tr>
      <w:tr>
        <w:trPr>
          <w:cantSplit/>
        </w:trPr>
        <w:tc>
          <w:tcPr>
            <w:tcW w:type="dxa" w:w="79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2</w:t>
            </w:r>
          </w:p>
        </w:tc>
        <w:tc>
          <w:tcPr>
            <w:tcW w:type="dxa" w:w="698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Name the significant person and define the period/source set.</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Before Summer 2 planning</w:t>
            </w:r>
          </w:p>
        </w:tc>
      </w:tr>
      <w:tr>
        <w:trPr>
          <w:cantSplit/>
        </w:trPr>
        <w:tc>
          <w:tcPr>
            <w:tcW w:type="dxa" w:w="792"/>
            <w:vAlign w:val="center"/>
            <w:tcMar>
              <w:top w:w="70" w:type="dxa"/>
              <w:start w:w="80" w:type="dxa"/>
              <w:bottom w:w="70" w:type="dxa"/>
              <w:end w:w="80" w:type="dxa"/>
            </w:tcMar>
          </w:tcPr>
          <w:p>
            <w:pPr>
              <w:spacing w:after="0" w:line="240" w:lineRule="auto"/>
            </w:pPr>
            <w:r/>
            <w:r>
              <w:rPr>
                <w:rFonts w:ascii="Aptos" w:hAnsi="Aptos"/>
                <w:b w:val="0"/>
                <w:color w:val="263238"/>
                <w:sz w:val="15"/>
              </w:rPr>
              <w:t>3</w:t>
            </w:r>
          </w:p>
        </w:tc>
        <w:tc>
          <w:tcPr>
            <w:tcW w:type="dxa" w:w="6984"/>
            <w:vAlign w:val="center"/>
            <w:tcMar>
              <w:top w:w="70" w:type="dxa"/>
              <w:start w:w="80" w:type="dxa"/>
              <w:bottom w:w="70" w:type="dxa"/>
              <w:end w:w="80" w:type="dxa"/>
            </w:tcMar>
          </w:tcPr>
          <w:p>
            <w:pPr>
              <w:spacing w:after="0" w:line="240" w:lineRule="auto"/>
            </w:pPr>
            <w:r/>
            <w:r>
              <w:rPr>
                <w:rFonts w:ascii="Aptos" w:hAnsi="Aptos"/>
                <w:b w:val="0"/>
                <w:color w:val="263238"/>
                <w:sz w:val="15"/>
              </w:rPr>
              <w:t>Define the period and case studies for the trade enquiry.</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Before Spring 1 planning</w:t>
            </w:r>
          </w:p>
        </w:tc>
      </w:tr>
      <w:tr>
        <w:trPr>
          <w:cantSplit/>
        </w:trPr>
        <w:tc>
          <w:tcPr>
            <w:tcW w:type="dxa" w:w="79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4</w:t>
            </w:r>
          </w:p>
        </w:tc>
        <w:tc>
          <w:tcPr>
            <w:tcW w:type="dxa" w:w="698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Decide whether ‘knowledge change’ is core History or enrichment; record content if core.</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Before Spring 2 planning</w:t>
            </w:r>
          </w:p>
        </w:tc>
      </w:tr>
      <w:tr>
        <w:trPr>
          <w:cantSplit/>
        </w:trPr>
        <w:tc>
          <w:tcPr>
            <w:tcW w:type="dxa" w:w="792"/>
            <w:vAlign w:val="center"/>
            <w:tcMar>
              <w:top w:w="70" w:type="dxa"/>
              <w:start w:w="80" w:type="dxa"/>
              <w:bottom w:w="70" w:type="dxa"/>
              <w:end w:w="80" w:type="dxa"/>
            </w:tcMar>
          </w:tcPr>
          <w:p>
            <w:pPr>
              <w:spacing w:after="0" w:line="240" w:lineRule="auto"/>
            </w:pPr>
            <w:r/>
            <w:r>
              <w:rPr>
                <w:rFonts w:ascii="Aptos" w:hAnsi="Aptos"/>
                <w:b w:val="0"/>
                <w:color w:val="263238"/>
                <w:sz w:val="15"/>
              </w:rPr>
              <w:t>5</w:t>
            </w:r>
          </w:p>
        </w:tc>
        <w:tc>
          <w:tcPr>
            <w:tcW w:type="dxa" w:w="6984"/>
            <w:vAlign w:val="center"/>
            <w:tcMar>
              <w:top w:w="70" w:type="dxa"/>
              <w:start w:w="80" w:type="dxa"/>
              <w:bottom w:w="70" w:type="dxa"/>
              <w:end w:w="80" w:type="dxa"/>
            </w:tcMar>
          </w:tcPr>
          <w:p>
            <w:pPr>
              <w:spacing w:after="0" w:line="240" w:lineRule="auto"/>
            </w:pPr>
            <w:r/>
            <w:r>
              <w:rPr>
                <w:rFonts w:ascii="Aptos" w:hAnsi="Aptos"/>
                <w:b w:val="0"/>
                <w:color w:val="263238"/>
                <w:sz w:val="15"/>
              </w:rPr>
              <w:t>Audit each pupil cohort’s previous/future KS2 content coverage and create the next cycle against statutory breadth.</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Curriculum review</w:t>
            </w:r>
          </w:p>
        </w:tc>
      </w:tr>
      <w:tr>
        <w:trPr>
          <w:cantSplit/>
        </w:trPr>
        <w:tc>
          <w:tcPr>
            <w:tcW w:type="dxa" w:w="79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6</w:t>
            </w:r>
          </w:p>
        </w:tc>
        <w:tc>
          <w:tcPr>
            <w:tcW w:type="dxa" w:w="698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Add EYFS progression once the Reception overview is received; make the bridge into Y1 explicit.</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When available</w:t>
            </w:r>
          </w:p>
        </w:tc>
      </w:tr>
    </w:tbl>
    <w:p>
      <w:pPr>
        <w:spacing w:after="0" w:lineRule="exact" w:line="40"/>
      </w:pPr>
    </w:p>
    <w:p>
      <w:pPr>
        <w:pStyle w:val="Heading2"/>
      </w:pPr>
      <w:r>
        <w:t>References and status</w:t>
      </w:r>
    </w:p>
    <w:p>
      <w:pPr>
        <w:pStyle w:val="ListBullet"/>
        <w:spacing w:after="40"/>
        <w:ind w:left="317" w:hanging="187"/>
      </w:pPr>
      <w:r>
        <w:t>Department for Education, National curriculum in England: history programmes of study (current statutory programme).</w:t>
      </w:r>
    </w:p>
    <w:p>
      <w:pPr>
        <w:pStyle w:val="ListBullet"/>
        <w:spacing w:after="40"/>
        <w:ind w:left="317" w:hanging="187"/>
      </w:pPr>
      <w:r>
        <w:t>Ofsted, Research review series: History (2021) and Rich encounters with the past: History subject report (2023), used as curriculum-quality reference points rather than a checklist.</w:t>
      </w:r>
    </w:p>
    <w:p>
      <w:pPr>
        <w:pStyle w:val="ListBullet"/>
        <w:spacing w:after="40"/>
        <w:ind w:left="317" w:hanging="187"/>
      </w:pPr>
      <w:r>
        <w:t>St Mary’s RC Primary School, 2026–27 curriculum overview and draft curriculum intent.</w:t>
      </w:r>
    </w:p>
    <w:p>
      <w:pPr>
        <w:pStyle w:val="ListBullet"/>
        <w:spacing w:after="40"/>
        <w:ind w:left="317" w:hanging="187"/>
      </w:pPr>
      <w:r>
        <w:t>Government response to the Curriculum and Assessment Review: final revised national curriculum expected spring 2027; first teaching planned for September 2028.</w:t>
      </w:r>
    </w:p>
    <w:p>
      <w:r>
        <w:br w:type="page"/>
      </w:r>
    </w:p>
    <w:p>
      <w:pPr>
        <w:spacing w:after="60"/>
      </w:pPr>
      <w:r>
        <w:rPr>
          <w:rFonts w:ascii="Aptos" w:hAnsi="Aptos"/>
          <w:b/>
          <w:color w:val="D6A84B"/>
          <w:sz w:val="17"/>
        </w:rPr>
        <w:t>19 • PROPOSED OVERVIEW</w:t>
      </w:r>
    </w:p>
    <w:p>
      <w:pPr>
        <w:pStyle w:val="Title"/>
        <w:spacing w:after="100"/>
      </w:pPr>
      <w:r>
        <w:t>Cycle B • 2027–28</w:t>
      </w:r>
    </w:p>
    <w:p>
      <w:pPr>
        <w:spacing w:after="200"/>
      </w:pPr>
      <w:r>
        <w:rPr>
          <w:i/>
          <w:color w:val="687386"/>
          <w:sz w:val="22"/>
        </w:rPr>
        <w:t>Suggested content based on the current National Curriculum</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D6A84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FF4D6"/>
            <w:tcMar>
              <w:top w:w="90" w:type="dxa"/>
              <w:start w:w="110" w:type="dxa"/>
              <w:bottom w:w="90" w:type="dxa"/>
              <w:end w:w="110" w:type="dxa"/>
            </w:tcMar>
            <w:vAlign w:val="center"/>
          </w:tcPr>
          <w:p>
            <w:pPr>
              <w:spacing w:after="20"/>
            </w:pPr>
            <w:r/>
            <w:r>
              <w:rPr>
                <w:b/>
                <w:color w:val="D6A84B"/>
                <w:sz w:val="18"/>
              </w:rPr>
              <w:t xml:space="preserve">Status  </w:t>
            </w:r>
            <w:r>
              <w:rPr>
                <w:color w:val="263238"/>
                <w:sz w:val="18"/>
              </w:rPr>
              <w:t>This is a suggested overview, not yet an adopted scheme of work. It follows Cycle A without repeating its principal content and contributes deliberately to the complete three-year statutory journey.</w:t>
            </w:r>
          </w:p>
        </w:tc>
      </w:tr>
    </w:tbl>
    <w:p>
      <w:pPr>
        <w:spacing w:after="0" w:lineRule="exact" w:line="40"/>
      </w:pPr>
    </w:p>
    <w:p>
      <w:pPr>
        <w:pStyle w:val="Heading2"/>
      </w:pPr>
      <w:r>
        <w:t>Years 1/2/3 • shared lower-class enquiries</w:t>
      </w:r>
    </w:p>
    <w:tbl>
      <w:tblPr>
        <w:tblStyle w:val="TableGrid"/>
        <w:tblW w:type="auto" w:w="0"/>
        <w:jc w:val="center"/>
        <w:tblLayout w:type="fixed"/>
        <w:tblLook w:firstColumn="1" w:firstRow="1" w:lastColumn="0" w:lastRow="0" w:noHBand="0" w:noVBand="1" w:val="04A0"/>
      </w:tblPr>
      <w:tblGrid>
        <w:gridCol w:w="2048"/>
        <w:gridCol w:w="2048"/>
        <w:gridCol w:w="2048"/>
        <w:gridCol w:w="2048"/>
        <w:gridCol w:w="2048"/>
      </w:tblGrid>
      <w:tr>
        <w:trPr>
          <w:cantSplit/>
        </w:trPr>
        <w:tc>
          <w:tcPr>
            <w:tcW w:type="dxa" w:w="1037"/>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Term</w:t>
            </w:r>
          </w:p>
        </w:tc>
        <w:tc>
          <w:tcPr>
            <w:tcW w:type="dxa" w:w="2952"/>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Suggested enquiry</w:t>
            </w:r>
          </w:p>
        </w:tc>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Substantive focus</w:t>
            </w:r>
          </w:p>
        </w:tc>
        <w:tc>
          <w:tcPr>
            <w:tcW w:type="dxa" w:w="180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Principal lens</w:t>
            </w:r>
          </w:p>
        </w:tc>
        <w:tc>
          <w:tcPr>
            <w:tcW w:type="dxa" w:w="180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Current NC contribution</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Autumn 2</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Why did the Great Fire of London spread, and what changed afterwards?</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London in 1666; buildings; firefighting; Pepys; rebuilding</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cause/consequence • evidence</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KS1 event beyond living memory; Y3 British history beyond 1066</w:t>
            </w:r>
          </w:p>
        </w:tc>
      </w:tr>
      <w:tr>
        <w:trPr>
          <w:cantSplit/>
        </w:trPr>
        <w:tc>
          <w:tcPr>
            <w:tcW w:type="dxa" w:w="1037"/>
            <w:vAlign w:val="center"/>
            <w:tcMar>
              <w:top w:w="70" w:type="dxa"/>
              <w:start w:w="80" w:type="dxa"/>
              <w:bottom w:w="70" w:type="dxa"/>
              <w:end w:w="80" w:type="dxa"/>
            </w:tcMar>
            <w:shd w:fill="F7F8FA"/>
          </w:tcPr>
          <w:p>
            <w:pPr>
              <w:spacing w:after="0" w:line="240" w:lineRule="auto"/>
            </w:pPr>
            <w:r/>
            <w:r>
              <w:rPr>
                <w:rFonts w:ascii="Aptos" w:hAnsi="Aptos"/>
                <w:b w:val="0"/>
                <w:color w:val="263238"/>
                <w:sz w:val="14"/>
              </w:rPr>
              <w:t>Spring 2</w:t>
            </w:r>
          </w:p>
        </w:tc>
        <w:tc>
          <w:tcPr>
            <w:tcW w:type="dxa" w:w="2952"/>
            <w:vAlign w:val="center"/>
            <w:tcMar>
              <w:top w:w="70" w:type="dxa"/>
              <w:start w:w="80" w:type="dxa"/>
              <w:bottom w:w="70" w:type="dxa"/>
              <w:end w:w="80" w:type="dxa"/>
            </w:tcMar>
            <w:shd w:fill="F7F8FA"/>
          </w:tcPr>
          <w:p>
            <w:pPr>
              <w:spacing w:after="0" w:line="240" w:lineRule="auto"/>
            </w:pPr>
            <w:r/>
            <w:r>
              <w:rPr>
                <w:rFonts w:ascii="Aptos" w:hAnsi="Aptos"/>
                <w:b w:val="0"/>
                <w:color w:val="263238"/>
                <w:sz w:val="14"/>
              </w:rPr>
              <w:t>How did people learn to fly?</w:t>
            </w:r>
          </w:p>
        </w:tc>
        <w:tc>
          <w:tcPr>
            <w:tcW w:type="dxa" w:w="3096"/>
            <w:vAlign w:val="center"/>
            <w:tcMar>
              <w:top w:w="70" w:type="dxa"/>
              <w:start w:w="80" w:type="dxa"/>
              <w:bottom w:w="70" w:type="dxa"/>
              <w:end w:w="80" w:type="dxa"/>
            </w:tcMar>
            <w:shd w:fill="F7F8FA"/>
          </w:tcPr>
          <w:p>
            <w:pPr>
              <w:spacing w:after="0" w:line="240" w:lineRule="auto"/>
            </w:pPr>
            <w:r/>
            <w:r>
              <w:rPr>
                <w:rFonts w:ascii="Aptos" w:hAnsi="Aptos"/>
                <w:b w:val="0"/>
                <w:color w:val="263238"/>
                <w:sz w:val="14"/>
              </w:rPr>
              <w:t>Early flight; Wright brothers; Amelia Earhart and/or Amy Johnson; technology</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chronology • significance • interpretations</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KS1 significant individuals; Y3 thematic study at KS2 depth</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Summer 1</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How have seaside holidays changed?</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Railways; Blackpool and the Lancashire coast; leisure, clothing and access</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change/continuity • comparison</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KS1 change over time, including living memory; regional connection</w:t>
            </w:r>
          </w:p>
        </w:tc>
      </w:tr>
    </w:tbl>
    <w:p>
      <w:pPr>
        <w:spacing w:after="0" w:lineRule="exact" w:line="40"/>
      </w:pPr>
    </w:p>
    <w:p>
      <w:pPr>
        <w:pStyle w:val="Heading2"/>
      </w:pPr>
      <w:r>
        <w:t>Years 4/5/6 • shared upper-class enquiries</w:t>
      </w:r>
    </w:p>
    <w:tbl>
      <w:tblPr>
        <w:tblStyle w:val="TableGrid"/>
        <w:tblW w:type="auto" w:w="0"/>
        <w:jc w:val="center"/>
        <w:tblLayout w:type="fixed"/>
        <w:tblLook w:firstColumn="1" w:firstRow="1" w:lastColumn="0" w:lastRow="0" w:noHBand="0" w:noVBand="1" w:val="04A0"/>
      </w:tblPr>
      <w:tblGrid>
        <w:gridCol w:w="2048"/>
        <w:gridCol w:w="2048"/>
        <w:gridCol w:w="2048"/>
        <w:gridCol w:w="2048"/>
        <w:gridCol w:w="2048"/>
      </w:tblGrid>
      <w:tr>
        <w:trPr>
          <w:cantSplit/>
        </w:trPr>
        <w:tc>
          <w:tcPr>
            <w:tcW w:type="dxa" w:w="1037"/>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Term</w:t>
            </w:r>
          </w:p>
        </w:tc>
        <w:tc>
          <w:tcPr>
            <w:tcW w:type="dxa" w:w="2952"/>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Suggested enquiry</w:t>
            </w:r>
          </w:p>
        </w:tc>
        <w:tc>
          <w:tcPr>
            <w:tcW w:type="dxa" w:w="309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Substantive focus</w:t>
            </w:r>
          </w:p>
        </w:tc>
        <w:tc>
          <w:tcPr>
            <w:tcW w:type="dxa" w:w="180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Principal lens</w:t>
            </w:r>
          </w:p>
        </w:tc>
        <w:tc>
          <w:tcPr>
            <w:tcW w:type="dxa" w:w="180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Current NC contribution</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Autumn 1</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How much did life change from the Stone Age to the Iron Age?</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Hunter-gatherers; farming; settlement; metalworking; belief and hillforts</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change/continuity • evidence</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Changes in Britain from the Stone Age to the Iron Age</w:t>
            </w:r>
          </w:p>
        </w:tc>
      </w:tr>
      <w:tr>
        <w:trPr>
          <w:cantSplit/>
        </w:trPr>
        <w:tc>
          <w:tcPr>
            <w:tcW w:type="dxa" w:w="1037"/>
            <w:vAlign w:val="center"/>
            <w:tcMar>
              <w:top w:w="70" w:type="dxa"/>
              <w:start w:w="80" w:type="dxa"/>
              <w:bottom w:w="70" w:type="dxa"/>
              <w:end w:w="80" w:type="dxa"/>
            </w:tcMar>
            <w:shd w:fill="F7F8FA"/>
          </w:tcPr>
          <w:p>
            <w:pPr>
              <w:spacing w:after="0" w:line="240" w:lineRule="auto"/>
            </w:pPr>
            <w:r/>
            <w:r>
              <w:rPr>
                <w:rFonts w:ascii="Aptos" w:hAnsi="Aptos"/>
                <w:b w:val="0"/>
                <w:color w:val="263238"/>
                <w:sz w:val="14"/>
              </w:rPr>
              <w:t>Spring 1</w:t>
            </w:r>
          </w:p>
        </w:tc>
        <w:tc>
          <w:tcPr>
            <w:tcW w:type="dxa" w:w="2952"/>
            <w:vAlign w:val="center"/>
            <w:tcMar>
              <w:top w:w="70" w:type="dxa"/>
              <w:start w:w="80" w:type="dxa"/>
              <w:bottom w:w="70" w:type="dxa"/>
              <w:end w:w="80" w:type="dxa"/>
            </w:tcMar>
            <w:shd w:fill="F7F8FA"/>
          </w:tcPr>
          <w:p>
            <w:pPr>
              <w:spacing w:after="0" w:line="240" w:lineRule="auto"/>
            </w:pPr>
            <w:r/>
            <w:r>
              <w:rPr>
                <w:rFonts w:ascii="Aptos" w:hAnsi="Aptos"/>
                <w:b w:val="0"/>
                <w:color w:val="263238"/>
                <w:sz w:val="14"/>
              </w:rPr>
              <w:t>What impact did the Romans have on Britain and our region?</w:t>
            </w:r>
          </w:p>
        </w:tc>
        <w:tc>
          <w:tcPr>
            <w:tcW w:type="dxa" w:w="3096"/>
            <w:vAlign w:val="center"/>
            <w:tcMar>
              <w:top w:w="70" w:type="dxa"/>
              <w:start w:w="80" w:type="dxa"/>
              <w:bottom w:w="70" w:type="dxa"/>
              <w:end w:w="80" w:type="dxa"/>
            </w:tcMar>
            <w:shd w:fill="F7F8FA"/>
          </w:tcPr>
          <w:p>
            <w:pPr>
              <w:spacing w:after="0" w:line="240" w:lineRule="auto"/>
            </w:pPr>
            <w:r/>
            <w:r>
              <w:rPr>
                <w:rFonts w:ascii="Aptos" w:hAnsi="Aptos"/>
                <w:b w:val="0"/>
                <w:color w:val="263238"/>
                <w:sz w:val="14"/>
              </w:rPr>
              <w:t>Invasion; resistance; army; towns; roads; belief; Roman Ribchester</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consequence • sources • significance</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Roman Empire and impact on Britain + explicit local history study</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Summer 1</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Who shaped England more: Anglo-Saxons or Vikings?</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Migration; kingdoms; belief; Alfred; raids; Danelaw; 1066</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comparison • significance • interpretations</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Anglo-Saxon/Scots settlement + Viking/Anglo-Saxon struggle</w:t>
            </w:r>
          </w:p>
        </w:tc>
      </w:tr>
    </w:tbl>
    <w:p>
      <w:pPr>
        <w:spacing w:after="0" w:lineRule="exact" w:line="40"/>
      </w:pPr>
    </w:p>
    <w:p>
      <w:pPr>
        <w:pStyle w:val="Heading2"/>
      </w:pPr>
      <w:r>
        <w:t>Sequencing and inclusion notes</w:t>
      </w:r>
    </w:p>
    <w:p>
      <w:pPr>
        <w:pStyle w:val="ListBullet"/>
        <w:spacing w:after="40"/>
        <w:ind w:left="317" w:hanging="187"/>
      </w:pPr>
      <w:r>
        <w:t>Move upper KS2 chronologically through prehistoric, Roman, Anglo-Saxon and Viking Britain.</w:t>
      </w:r>
    </w:p>
    <w:p>
      <w:pPr>
        <w:pStyle w:val="ListBullet"/>
        <w:spacing w:after="40"/>
        <w:ind w:left="317" w:hanging="187"/>
      </w:pPr>
      <w:r>
        <w:t>Make Ribchester a genuine local enquiry using archaeological and documentary evidence, not merely a visit.</w:t>
      </w:r>
    </w:p>
    <w:p>
      <w:pPr>
        <w:pStyle w:val="ListBullet"/>
        <w:spacing w:after="40"/>
        <w:ind w:left="317" w:hanging="187"/>
      </w:pPr>
      <w:r>
        <w:t>Avoid a single-hero flight narrative: show collaboration, technological context and differing recognition.</w:t>
      </w:r>
    </w:p>
    <w:p>
      <w:pPr>
        <w:pStyle w:val="ListBullet"/>
        <w:spacing w:after="40"/>
        <w:ind w:left="317" w:hanging="187"/>
      </w:pPr>
      <w:r>
        <w:t>Year 3 follows the lower enquiry but uses scaled timelines, provenance, causal grouping and supported judgements.</w:t>
      </w:r>
    </w:p>
    <w:p>
      <w:r>
        <w:br w:type="page"/>
      </w:r>
    </w:p>
    <w:p>
      <w:pPr>
        <w:spacing w:after="60"/>
      </w:pPr>
      <w:r>
        <w:rPr>
          <w:rFonts w:ascii="Aptos" w:hAnsi="Aptos"/>
          <w:b/>
          <w:color w:val="D6A84B"/>
          <w:sz w:val="17"/>
        </w:rPr>
        <w:t>20 • PROPOSED OVERVIEW</w:t>
      </w:r>
    </w:p>
    <w:p>
      <w:pPr>
        <w:pStyle w:val="Title"/>
        <w:spacing w:after="100"/>
      </w:pPr>
      <w:r>
        <w:t>Cycle C • 2028–29</w:t>
      </w:r>
    </w:p>
    <w:p>
      <w:pPr>
        <w:spacing w:after="200"/>
      </w:pPr>
      <w:r>
        <w:rPr>
          <w:i/>
          <w:color w:val="687386"/>
          <w:sz w:val="22"/>
        </w:rPr>
        <w:t>Provisional content based on the current National Curriculum</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A33B3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BEAEA"/>
            <w:tcMar>
              <w:top w:w="90" w:type="dxa"/>
              <w:start w:w="110" w:type="dxa"/>
              <w:bottom w:w="90" w:type="dxa"/>
              <w:end w:w="110" w:type="dxa"/>
            </w:tcMar>
            <w:vAlign w:val="center"/>
          </w:tcPr>
          <w:p>
            <w:pPr>
              <w:spacing w:after="20"/>
            </w:pPr>
            <w:r/>
            <w:r>
              <w:rPr>
                <w:b/>
                <w:color w:val="A33B3B"/>
                <w:sz w:val="18"/>
              </w:rPr>
              <w:t xml:space="preserve">Mandatory review point  </w:t>
            </w:r>
            <w:r>
              <w:rPr>
                <w:color w:val="263238"/>
                <w:sz w:val="18"/>
              </w:rPr>
              <w:t>Government currently plans first teaching of the revised national curriculum from September 2028. Retain this as a sequenced proposal, but review it against the final statutory History programme before adoption.</w:t>
            </w:r>
          </w:p>
        </w:tc>
      </w:tr>
    </w:tbl>
    <w:p>
      <w:pPr>
        <w:spacing w:after="0" w:lineRule="exact" w:line="40"/>
      </w:pPr>
    </w:p>
    <w:p>
      <w:pPr>
        <w:pStyle w:val="Heading2"/>
      </w:pPr>
      <w:r>
        <w:t>Years 1/2/3 • shared lower-class enquiries</w:t>
      </w:r>
    </w:p>
    <w:tbl>
      <w:tblPr>
        <w:tblStyle w:val="TableGrid"/>
        <w:tblW w:type="auto" w:w="0"/>
        <w:jc w:val="center"/>
        <w:tblLayout w:type="fixed"/>
        <w:tblLook w:firstColumn="1" w:firstRow="1" w:lastColumn="0" w:lastRow="0" w:noHBand="0" w:noVBand="1" w:val="04A0"/>
      </w:tblPr>
      <w:tblGrid>
        <w:gridCol w:w="2048"/>
        <w:gridCol w:w="2048"/>
        <w:gridCol w:w="2048"/>
        <w:gridCol w:w="2048"/>
        <w:gridCol w:w="2048"/>
      </w:tblGrid>
      <w:tr>
        <w:trPr>
          <w:cantSplit/>
        </w:trPr>
        <w:tc>
          <w:tcPr>
            <w:tcW w:type="dxa" w:w="1037"/>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Term</w:t>
            </w:r>
          </w:p>
        </w:tc>
        <w:tc>
          <w:tcPr>
            <w:tcW w:type="dxa" w:w="2952"/>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Suggested enquiry</w:t>
            </w:r>
          </w:p>
        </w:tc>
        <w:tc>
          <w:tcPr>
            <w:tcW w:type="dxa" w:w="3096"/>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Substantive focus</w:t>
            </w:r>
          </w:p>
        </w:tc>
        <w:tc>
          <w:tcPr>
            <w:tcW w:type="dxa" w:w="180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Principal lens</w:t>
            </w:r>
          </w:p>
        </w:tc>
        <w:tc>
          <w:tcPr>
            <w:tcW w:type="dxa" w:w="1800"/>
            <w:vAlign w:val="center"/>
            <w:tcMar>
              <w:top w:w="70" w:type="dxa"/>
              <w:start w:w="80" w:type="dxa"/>
              <w:bottom w:w="70" w:type="dxa"/>
              <w:end w:w="80" w:type="dxa"/>
            </w:tcMar>
            <w:shd w:fill="2B7A78"/>
          </w:tcPr>
          <w:p>
            <w:pPr>
              <w:spacing w:after="0" w:line="240" w:lineRule="auto"/>
              <w:jc w:val="center"/>
            </w:pPr>
            <w:r/>
            <w:r>
              <w:rPr>
                <w:rFonts w:ascii="Aptos" w:hAnsi="Aptos"/>
                <w:b/>
                <w:color w:val="FFFFFF"/>
                <w:sz w:val="14"/>
              </w:rPr>
              <w:t>Current NC contribution</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Autumn 2</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Why is the first Moon landing remembered?</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Space race; Apollo 11; Armstrong, Aldrin and Collins; global significance</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significance • sources • interpretations</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KS1 event beyond living memory + significant individuals; Y3 thematic study</w:t>
            </w:r>
          </w:p>
        </w:tc>
      </w:tr>
      <w:tr>
        <w:trPr>
          <w:cantSplit/>
        </w:trPr>
        <w:tc>
          <w:tcPr>
            <w:tcW w:type="dxa" w:w="1037"/>
            <w:vAlign w:val="center"/>
            <w:tcMar>
              <w:top w:w="70" w:type="dxa"/>
              <w:start w:w="80" w:type="dxa"/>
              <w:bottom w:w="70" w:type="dxa"/>
              <w:end w:w="80" w:type="dxa"/>
            </w:tcMar>
            <w:shd w:fill="F7F8FA"/>
          </w:tcPr>
          <w:p>
            <w:pPr>
              <w:spacing w:after="0" w:line="240" w:lineRule="auto"/>
            </w:pPr>
            <w:r/>
            <w:r>
              <w:rPr>
                <w:rFonts w:ascii="Aptos" w:hAnsi="Aptos"/>
                <w:b w:val="0"/>
                <w:color w:val="263238"/>
                <w:sz w:val="14"/>
              </w:rPr>
              <w:t>Spring 2</w:t>
            </w:r>
          </w:p>
        </w:tc>
        <w:tc>
          <w:tcPr>
            <w:tcW w:type="dxa" w:w="2952"/>
            <w:vAlign w:val="center"/>
            <w:tcMar>
              <w:top w:w="70" w:type="dxa"/>
              <w:start w:w="80" w:type="dxa"/>
              <w:bottom w:w="70" w:type="dxa"/>
              <w:end w:w="80" w:type="dxa"/>
            </w:tcMar>
            <w:shd w:fill="F7F8FA"/>
          </w:tcPr>
          <w:p>
            <w:pPr>
              <w:spacing w:after="0" w:line="240" w:lineRule="auto"/>
            </w:pPr>
            <w:r/>
            <w:r>
              <w:rPr>
                <w:rFonts w:ascii="Aptos" w:hAnsi="Aptos"/>
                <w:b w:val="0"/>
                <w:color w:val="263238"/>
                <w:sz w:val="14"/>
              </w:rPr>
              <w:t>How has communication changed within living memory?</w:t>
            </w:r>
          </w:p>
        </w:tc>
        <w:tc>
          <w:tcPr>
            <w:tcW w:type="dxa" w:w="3096"/>
            <w:vAlign w:val="center"/>
            <w:tcMar>
              <w:top w:w="70" w:type="dxa"/>
              <w:start w:w="80" w:type="dxa"/>
              <w:bottom w:w="70" w:type="dxa"/>
              <w:end w:w="80" w:type="dxa"/>
            </w:tcMar>
            <w:shd w:fill="F7F8FA"/>
          </w:tcPr>
          <w:p>
            <w:pPr>
              <w:spacing w:after="0" w:line="240" w:lineRule="auto"/>
            </w:pPr>
            <w:r/>
            <w:r>
              <w:rPr>
                <w:rFonts w:ascii="Aptos" w:hAnsi="Aptos"/>
                <w:b w:val="0"/>
                <w:color w:val="263238"/>
                <w:sz w:val="14"/>
              </w:rPr>
              <w:t>Letters, telephones, broadcasting, computers and messaging; access and pace</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change/continuity • testimony</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KS1 changes within living memory; Y3 study at KS2 depth</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Summer 1</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Who changed nursing, and how do we know?</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Florence Nightingale and Mary Seacole; nursing, evidence and remembrance</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significance • comparison • interpretations</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KS1 significant individuals; Y3 evidence and interpretation</w:t>
            </w:r>
          </w:p>
        </w:tc>
      </w:tr>
    </w:tbl>
    <w:p>
      <w:pPr>
        <w:spacing w:after="0" w:lineRule="exact" w:line="40"/>
      </w:pPr>
    </w:p>
    <w:p>
      <w:pPr>
        <w:pStyle w:val="Heading2"/>
      </w:pPr>
      <w:r>
        <w:t>Years 4/5/6 • shared upper-class enquiries</w:t>
      </w:r>
    </w:p>
    <w:tbl>
      <w:tblPr>
        <w:tblStyle w:val="TableGrid"/>
        <w:tblW w:type="auto" w:w="0"/>
        <w:jc w:val="center"/>
        <w:tblLayout w:type="fixed"/>
        <w:tblLook w:firstColumn="1" w:firstRow="1" w:lastColumn="0" w:lastRow="0" w:noHBand="0" w:noVBand="1" w:val="04A0"/>
      </w:tblPr>
      <w:tblGrid>
        <w:gridCol w:w="2048"/>
        <w:gridCol w:w="2048"/>
        <w:gridCol w:w="2048"/>
        <w:gridCol w:w="2048"/>
        <w:gridCol w:w="2048"/>
      </w:tblGrid>
      <w:tr>
        <w:trPr>
          <w:cantSplit/>
        </w:trPr>
        <w:tc>
          <w:tcPr>
            <w:tcW w:type="dxa" w:w="1037"/>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Term</w:t>
            </w:r>
          </w:p>
        </w:tc>
        <w:tc>
          <w:tcPr>
            <w:tcW w:type="dxa" w:w="2952"/>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Suggested enquiry</w:t>
            </w:r>
          </w:p>
        </w:tc>
        <w:tc>
          <w:tcPr>
            <w:tcW w:type="dxa" w:w="3096"/>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Substantive focus</w:t>
            </w:r>
          </w:p>
        </w:tc>
        <w:tc>
          <w:tcPr>
            <w:tcW w:type="dxa" w:w="180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Principal lens</w:t>
            </w:r>
          </w:p>
        </w:tc>
        <w:tc>
          <w:tcPr>
            <w:tcW w:type="dxa" w:w="1800"/>
            <w:vAlign w:val="center"/>
            <w:tcMar>
              <w:top w:w="70" w:type="dxa"/>
              <w:start w:w="80" w:type="dxa"/>
              <w:bottom w:w="70" w:type="dxa"/>
              <w:end w:w="80" w:type="dxa"/>
            </w:tcMar>
            <w:shd w:fill="7A1F3D"/>
          </w:tcPr>
          <w:p>
            <w:pPr>
              <w:spacing w:after="0" w:line="240" w:lineRule="auto"/>
              <w:jc w:val="center"/>
            </w:pPr>
            <w:r/>
            <w:r>
              <w:rPr>
                <w:rFonts w:ascii="Aptos" w:hAnsi="Aptos"/>
                <w:b/>
                <w:color w:val="FFFFFF"/>
                <w:sz w:val="14"/>
              </w:rPr>
              <w:t>Current NC contribution</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Autumn 1</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What did the earliest civilisations share, and what made ancient Egypt distinctive?</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Overview of first civilisations; Nile; rule; belief; writing; society; achievement</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comparison • evidence</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Earliest civilisations overview + Ancient Egypt depth study</w:t>
            </w:r>
          </w:p>
        </w:tc>
      </w:tr>
      <w:tr>
        <w:trPr>
          <w:cantSplit/>
        </w:trPr>
        <w:tc>
          <w:tcPr>
            <w:tcW w:type="dxa" w:w="1037"/>
            <w:vAlign w:val="center"/>
            <w:tcMar>
              <w:top w:w="70" w:type="dxa"/>
              <w:start w:w="80" w:type="dxa"/>
              <w:bottom w:w="70" w:type="dxa"/>
              <w:end w:w="80" w:type="dxa"/>
            </w:tcMar>
            <w:shd w:fill="F7F8FA"/>
          </w:tcPr>
          <w:p>
            <w:pPr>
              <w:spacing w:after="0" w:line="240" w:lineRule="auto"/>
            </w:pPr>
            <w:r/>
            <w:r>
              <w:rPr>
                <w:rFonts w:ascii="Aptos" w:hAnsi="Aptos"/>
                <w:b w:val="0"/>
                <w:color w:val="263238"/>
                <w:sz w:val="14"/>
              </w:rPr>
              <w:t>Spring 1</w:t>
            </w:r>
          </w:p>
        </w:tc>
        <w:tc>
          <w:tcPr>
            <w:tcW w:type="dxa" w:w="2952"/>
            <w:vAlign w:val="center"/>
            <w:tcMar>
              <w:top w:w="70" w:type="dxa"/>
              <w:start w:w="80" w:type="dxa"/>
              <w:bottom w:w="70" w:type="dxa"/>
              <w:end w:w="80" w:type="dxa"/>
            </w:tcMar>
            <w:shd w:fill="F7F8FA"/>
          </w:tcPr>
          <w:p>
            <w:pPr>
              <w:spacing w:after="0" w:line="240" w:lineRule="auto"/>
            </w:pPr>
            <w:r/>
            <w:r>
              <w:rPr>
                <w:rFonts w:ascii="Aptos" w:hAnsi="Aptos"/>
                <w:b w:val="0"/>
                <w:color w:val="263238"/>
                <w:sz w:val="14"/>
              </w:rPr>
              <w:t>What is the most significant legacy of ancient Greece?</w:t>
            </w:r>
          </w:p>
        </w:tc>
        <w:tc>
          <w:tcPr>
            <w:tcW w:type="dxa" w:w="3096"/>
            <w:vAlign w:val="center"/>
            <w:tcMar>
              <w:top w:w="70" w:type="dxa"/>
              <w:start w:w="80" w:type="dxa"/>
              <w:bottom w:w="70" w:type="dxa"/>
              <w:end w:w="80" w:type="dxa"/>
            </w:tcMar>
            <w:shd w:fill="F7F8FA"/>
          </w:tcPr>
          <w:p>
            <w:pPr>
              <w:spacing w:after="0" w:line="240" w:lineRule="auto"/>
            </w:pPr>
            <w:r/>
            <w:r>
              <w:rPr>
                <w:rFonts w:ascii="Aptos" w:hAnsi="Aptos"/>
                <w:b w:val="0"/>
                <w:color w:val="263238"/>
                <w:sz w:val="14"/>
              </w:rPr>
              <w:t>City-states; democracy; society; conflict; belief; ideas and culture</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significance • interpretations</w:t>
            </w:r>
          </w:p>
        </w:tc>
        <w:tc>
          <w:tcPr>
            <w:tcW w:type="dxa" w:w="1800"/>
            <w:vAlign w:val="center"/>
            <w:tcMar>
              <w:top w:w="70" w:type="dxa"/>
              <w:start w:w="80" w:type="dxa"/>
              <w:bottom w:w="70" w:type="dxa"/>
              <w:end w:w="80" w:type="dxa"/>
            </w:tcMar>
            <w:shd w:fill="F7F8FA"/>
          </w:tcPr>
          <w:p>
            <w:pPr>
              <w:spacing w:after="0" w:line="240" w:lineRule="auto"/>
            </w:pPr>
            <w:r/>
            <w:r>
              <w:rPr>
                <w:rFonts w:ascii="Aptos" w:hAnsi="Aptos"/>
                <w:b w:val="0"/>
                <w:color w:val="263238"/>
                <w:sz w:val="14"/>
              </w:rPr>
              <w:t>Ancient Greek life, achievements and influence</w:t>
            </w:r>
          </w:p>
        </w:tc>
      </w:tr>
      <w:tr>
        <w:trPr>
          <w:cantSplit/>
        </w:trPr>
        <w:tc>
          <w:tcPr>
            <w:tcW w:type="dxa" w:w="1037"/>
            <w:vAlign w:val="center"/>
            <w:tcMar>
              <w:top w:w="70" w:type="dxa"/>
              <w:start w:w="80" w:type="dxa"/>
              <w:bottom w:w="70" w:type="dxa"/>
              <w:end w:w="80" w:type="dxa"/>
            </w:tcMar>
          </w:tcPr>
          <w:p>
            <w:pPr>
              <w:spacing w:after="0" w:line="240" w:lineRule="auto"/>
            </w:pPr>
            <w:r/>
            <w:r>
              <w:rPr>
                <w:rFonts w:ascii="Aptos" w:hAnsi="Aptos"/>
                <w:b w:val="0"/>
                <w:color w:val="263238"/>
                <w:sz w:val="14"/>
              </w:rPr>
              <w:t>Summer 1</w:t>
            </w:r>
          </w:p>
        </w:tc>
        <w:tc>
          <w:tcPr>
            <w:tcW w:type="dxa" w:w="2952"/>
            <w:vAlign w:val="center"/>
            <w:tcMar>
              <w:top w:w="70" w:type="dxa"/>
              <w:start w:w="80" w:type="dxa"/>
              <w:bottom w:w="70" w:type="dxa"/>
              <w:end w:w="80" w:type="dxa"/>
            </w:tcMar>
          </w:tcPr>
          <w:p>
            <w:pPr>
              <w:spacing w:after="0" w:line="240" w:lineRule="auto"/>
            </w:pPr>
            <w:r/>
            <w:r>
              <w:rPr>
                <w:rFonts w:ascii="Aptos" w:hAnsi="Aptos"/>
                <w:b w:val="0"/>
                <w:color w:val="263238"/>
                <w:sz w:val="14"/>
              </w:rPr>
              <w:t>How did the Maya flourish, and why did their cities change?</w:t>
            </w:r>
          </w:p>
        </w:tc>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4"/>
              </w:rPr>
              <w:t>Environment; city-states; farming; society; belief; number/writing; change after c.900</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cause/consequence • evidence</w:t>
            </w:r>
          </w:p>
        </w:tc>
        <w:tc>
          <w:tcPr>
            <w:tcW w:type="dxa" w:w="1800"/>
            <w:vAlign w:val="center"/>
            <w:tcMar>
              <w:top w:w="70" w:type="dxa"/>
              <w:start w:w="80" w:type="dxa"/>
              <w:bottom w:w="70" w:type="dxa"/>
              <w:end w:w="80" w:type="dxa"/>
            </w:tcMar>
          </w:tcPr>
          <w:p>
            <w:pPr>
              <w:spacing w:after="0" w:line="240" w:lineRule="auto"/>
            </w:pPr>
            <w:r/>
            <w:r>
              <w:rPr>
                <w:rFonts w:ascii="Aptos" w:hAnsi="Aptos"/>
                <w:b w:val="0"/>
                <w:color w:val="263238"/>
                <w:sz w:val="14"/>
              </w:rPr>
              <w:t>Non-European society contrasting with British history</w:t>
            </w:r>
          </w:p>
        </w:tc>
      </w:tr>
    </w:tbl>
    <w:p>
      <w:pPr>
        <w:spacing w:after="0" w:lineRule="exact" w:line="40"/>
      </w:pPr>
    </w:p>
    <w:p>
      <w:pPr>
        <w:pStyle w:val="Heading2"/>
      </w:pPr>
      <w:r>
        <w:t>Sequencing and inclusion notes</w:t>
      </w:r>
    </w:p>
    <w:p>
      <w:pPr>
        <w:pStyle w:val="ListBullet"/>
        <w:spacing w:after="40"/>
        <w:ind w:left="317" w:hanging="187"/>
      </w:pPr>
      <w:r>
        <w:t>Use the earliest-civilisations overview for orientation; Ancient Egypt is the depth study, not one of four disconnected mini-topics.</w:t>
      </w:r>
    </w:p>
    <w:p>
      <w:pPr>
        <w:pStyle w:val="ListBullet"/>
        <w:spacing w:after="40"/>
        <w:ind w:left="317" w:hanging="187"/>
      </w:pPr>
      <w:r>
        <w:t>Compare societies without ranking them as more or less ‘advanced’; select evidence that challenges stereotypes.</w:t>
      </w:r>
    </w:p>
    <w:p>
      <w:pPr>
        <w:pStyle w:val="ListBullet"/>
        <w:spacing w:after="40"/>
        <w:ind w:left="317" w:hanging="187"/>
      </w:pPr>
      <w:r>
        <w:t>Include the wider Apollo team and Katherine Johnson where relevant while keeping the Moon enquiry manageable.</w:t>
      </w:r>
    </w:p>
    <w:p>
      <w:pPr>
        <w:pStyle w:val="ListBullet"/>
        <w:spacing w:after="40"/>
        <w:ind w:left="317" w:hanging="187"/>
      </w:pPr>
      <w:r>
        <w:t>Compare evidence and later remembrance in the nursing unit rather than presenting simplified heroic biographies.</w:t>
      </w:r>
    </w:p>
    <w:p>
      <w:r>
        <w:br w:type="page"/>
      </w:r>
    </w:p>
    <w:p>
      <w:pPr>
        <w:spacing w:after="60"/>
      </w:pPr>
      <w:r>
        <w:rPr>
          <w:rFonts w:ascii="Aptos" w:hAnsi="Aptos"/>
          <w:b/>
          <w:color w:val="D6A84B"/>
          <w:sz w:val="17"/>
        </w:rPr>
        <w:t>21 • THREE-YEAR ASSURANCE</w:t>
      </w:r>
    </w:p>
    <w:p>
      <w:pPr>
        <w:pStyle w:val="Title"/>
        <w:spacing w:after="100"/>
      </w:pPr>
      <w:r>
        <w:t>How Cycles A, B and C secure the current entitlement</w:t>
      </w:r>
    </w:p>
    <w:p>
      <w:pPr>
        <w:pStyle w:val="Heading2"/>
      </w:pPr>
      <w:r>
        <w:t>Key Stage 1 assurance across the lower-class rotation</w:t>
      </w:r>
    </w:p>
    <w:tbl>
      <w:tblPr>
        <w:tblStyle w:val="TableGrid"/>
        <w:tblW w:type="auto" w:w="0"/>
        <w:jc w:val="center"/>
        <w:tblLayout w:type="fixed"/>
        <w:tblLook w:firstColumn="1" w:firstRow="1" w:lastColumn="0" w:lastRow="0" w:noHBand="0" w:noVBand="1" w:val="04A0"/>
      </w:tblPr>
      <w:tblGrid>
        <w:gridCol w:w="2560"/>
        <w:gridCol w:w="2560"/>
        <w:gridCol w:w="2560"/>
        <w:gridCol w:w="2560"/>
      </w:tblGrid>
      <w:tr>
        <w:trPr>
          <w:cantSplit/>
        </w:trPr>
        <w:tc>
          <w:tcPr>
            <w:tcW w:type="dxa" w:w="3096"/>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Current statutory requirement</w:t>
            </w:r>
          </w:p>
        </w:tc>
        <w:tc>
          <w:tcPr>
            <w:tcW w:type="dxa" w:w="230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Cycle A • 2026–27</w:t>
            </w:r>
          </w:p>
        </w:tc>
        <w:tc>
          <w:tcPr>
            <w:tcW w:type="dxa" w:w="230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Cycle B • 2027–28</w:t>
            </w:r>
          </w:p>
        </w:tc>
        <w:tc>
          <w:tcPr>
            <w:tcW w:type="dxa" w:w="2304"/>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Cycle C • 2028–29</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5"/>
              </w:rPr>
              <w:t>Changes within living memory</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Toys: Past and Present</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Seaside holidays, including later change</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Communication within living memory</w:t>
            </w:r>
          </w:p>
        </w:tc>
      </w:tr>
      <w:tr>
        <w:trPr>
          <w:cantSplit/>
        </w:trPr>
        <w:tc>
          <w:tcPr>
            <w:tcW w:type="dxa" w:w="309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Events beyond living memory</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Gunpowder Plot</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Great Fire of London</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First Moon landing</w:t>
            </w:r>
          </w:p>
        </w:tc>
      </w:tr>
      <w:tr>
        <w:trPr>
          <w:cantSplit/>
        </w:trPr>
        <w:tc>
          <w:tcPr>
            <w:tcW w:type="dxa" w:w="3096"/>
            <w:vAlign w:val="center"/>
            <w:tcMar>
              <w:top w:w="70" w:type="dxa"/>
              <w:start w:w="80" w:type="dxa"/>
              <w:bottom w:w="70" w:type="dxa"/>
              <w:end w:w="80" w:type="dxa"/>
            </w:tcMar>
          </w:tcPr>
          <w:p>
            <w:pPr>
              <w:spacing w:after="0" w:line="240" w:lineRule="auto"/>
            </w:pPr>
            <w:r/>
            <w:r>
              <w:rPr>
                <w:rFonts w:ascii="Aptos" w:hAnsi="Aptos"/>
                <w:b w:val="0"/>
                <w:color w:val="263238"/>
                <w:sz w:val="15"/>
              </w:rPr>
              <w:t>Significant individuals</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Inventors where explicitly selected</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Flight pioneers</w:t>
            </w:r>
          </w:p>
        </w:tc>
        <w:tc>
          <w:tcPr>
            <w:tcW w:type="dxa" w:w="2304"/>
            <w:vAlign w:val="center"/>
            <w:tcMar>
              <w:top w:w="70" w:type="dxa"/>
              <w:start w:w="80" w:type="dxa"/>
              <w:bottom w:w="70" w:type="dxa"/>
              <w:end w:w="80" w:type="dxa"/>
            </w:tcMar>
          </w:tcPr>
          <w:p>
            <w:pPr>
              <w:spacing w:after="0" w:line="240" w:lineRule="auto"/>
            </w:pPr>
            <w:r/>
            <w:r>
              <w:rPr>
                <w:rFonts w:ascii="Aptos" w:hAnsi="Aptos"/>
                <w:b w:val="0"/>
                <w:color w:val="263238"/>
                <w:sz w:val="15"/>
              </w:rPr>
              <w:t>Moon team; Nightingale and Seacole</w:t>
            </w:r>
          </w:p>
        </w:tc>
      </w:tr>
      <w:tr>
        <w:trPr>
          <w:cantSplit/>
        </w:trPr>
        <w:tc>
          <w:tcPr>
            <w:tcW w:type="dxa" w:w="3096"/>
            <w:vAlign w:val="center"/>
            <w:tcMar>
              <w:top w:w="70" w:type="dxa"/>
              <w:start w:w="80" w:type="dxa"/>
              <w:bottom w:w="70" w:type="dxa"/>
              <w:end w:w="80" w:type="dxa"/>
            </w:tcMar>
            <w:shd w:fill="F7F8FA"/>
          </w:tcPr>
          <w:p>
            <w:pPr>
              <w:spacing w:after="0" w:line="240" w:lineRule="auto"/>
            </w:pPr>
            <w:r/>
            <w:r>
              <w:rPr>
                <w:rFonts w:ascii="Aptos" w:hAnsi="Aptos"/>
                <w:b w:val="0"/>
                <w:color w:val="263238"/>
                <w:sz w:val="15"/>
              </w:rPr>
              <w:t>Own locality</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How has Chipping changed?</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Lancashire coast connection</w:t>
            </w:r>
          </w:p>
        </w:tc>
        <w:tc>
          <w:tcPr>
            <w:tcW w:type="dxa" w:w="2304"/>
            <w:vAlign w:val="center"/>
            <w:tcMar>
              <w:top w:w="70" w:type="dxa"/>
              <w:start w:w="80" w:type="dxa"/>
              <w:bottom w:w="70" w:type="dxa"/>
              <w:end w:w="80" w:type="dxa"/>
            </w:tcMar>
            <w:shd w:fill="F7F8FA"/>
          </w:tcPr>
          <w:p>
            <w:pPr>
              <w:spacing w:after="0" w:line="240" w:lineRule="auto"/>
            </w:pPr>
            <w:r/>
            <w:r>
              <w:rPr>
                <w:rFonts w:ascii="Aptos" w:hAnsi="Aptos"/>
                <w:b w:val="0"/>
                <w:color w:val="263238"/>
                <w:sz w:val="15"/>
              </w:rPr>
              <w:t>Prior local knowledge retrieved</w:t>
            </w:r>
          </w:p>
        </w:tc>
      </w:tr>
    </w:tbl>
    <w:p>
      <w:pPr>
        <w:spacing w:after="0" w:lineRule="exact" w:line="40"/>
      </w:pPr>
    </w:p>
    <w:p>
      <w:pPr>
        <w:pStyle w:val="Heading2"/>
      </w:pPr>
      <w:r>
        <w:t>Key Stage 2 assurance across the upper-class rotation</w:t>
      </w: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4608"/>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Current statutory requirement</w:t>
            </w:r>
          </w:p>
        </w:tc>
        <w:tc>
          <w:tcPr>
            <w:tcW w:type="dxa" w:w="5472"/>
            <w:vAlign w:val="center"/>
            <w:tcMar>
              <w:top w:w="70" w:type="dxa"/>
              <w:start w:w="80" w:type="dxa"/>
              <w:bottom w:w="70" w:type="dxa"/>
              <w:end w:w="80" w:type="dxa"/>
            </w:tcMar>
            <w:shd w:fill="17365D"/>
          </w:tcPr>
          <w:p>
            <w:pPr>
              <w:spacing w:after="0" w:line="240" w:lineRule="auto"/>
              <w:jc w:val="center"/>
            </w:pPr>
            <w:r/>
            <w:r>
              <w:rPr>
                <w:rFonts w:ascii="Aptos" w:hAnsi="Aptos"/>
                <w:b/>
                <w:color w:val="FFFFFF"/>
                <w:sz w:val="15"/>
              </w:rPr>
              <w:t>Where it is secured</w:t>
            </w:r>
          </w:p>
        </w:tc>
      </w:tr>
      <w:tr>
        <w:trPr>
          <w:cantSplit/>
        </w:trPr>
        <w:tc>
          <w:tcPr>
            <w:tcW w:type="dxa" w:w="4608"/>
            <w:vAlign w:val="center"/>
            <w:tcMar>
              <w:top w:w="70" w:type="dxa"/>
              <w:start w:w="80" w:type="dxa"/>
              <w:bottom w:w="70" w:type="dxa"/>
              <w:end w:w="80" w:type="dxa"/>
            </w:tcMar>
          </w:tcPr>
          <w:p>
            <w:pPr>
              <w:spacing w:after="0" w:line="240" w:lineRule="auto"/>
            </w:pPr>
            <w:r/>
            <w:r>
              <w:rPr>
                <w:rFonts w:ascii="Aptos" w:hAnsi="Aptos"/>
                <w:b w:val="0"/>
                <w:color w:val="263238"/>
                <w:sz w:val="15"/>
              </w:rPr>
              <w:t>Changes in Britain from Stone Age to Iron Age</w:t>
            </w:r>
          </w:p>
        </w:tc>
        <w:tc>
          <w:tcPr>
            <w:tcW w:type="dxa" w:w="5472"/>
            <w:vAlign w:val="center"/>
            <w:tcMar>
              <w:top w:w="70" w:type="dxa"/>
              <w:start w:w="80" w:type="dxa"/>
              <w:bottom w:w="70" w:type="dxa"/>
              <w:end w:w="80" w:type="dxa"/>
            </w:tcMar>
          </w:tcPr>
          <w:p>
            <w:pPr>
              <w:spacing w:after="0" w:line="240" w:lineRule="auto"/>
            </w:pPr>
            <w:r/>
            <w:r>
              <w:rPr>
                <w:rFonts w:ascii="Aptos" w:hAnsi="Aptos"/>
                <w:b w:val="0"/>
                <w:color w:val="263238"/>
                <w:sz w:val="15"/>
              </w:rPr>
              <w:t>Cycle B • Stone Age to Iron Age</w:t>
            </w:r>
          </w:p>
        </w:tc>
      </w:tr>
      <w:tr>
        <w:trPr>
          <w:cantSplit/>
        </w:trPr>
        <w:tc>
          <w:tcPr>
            <w:tcW w:type="dxa" w:w="460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Roman Empire and its impact on Britain</w:t>
            </w:r>
          </w:p>
        </w:tc>
        <w:tc>
          <w:tcPr>
            <w:tcW w:type="dxa" w:w="54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Cycle B • Roman Britain and Ribchester</w:t>
            </w:r>
          </w:p>
        </w:tc>
      </w:tr>
      <w:tr>
        <w:trPr>
          <w:cantSplit/>
        </w:trPr>
        <w:tc>
          <w:tcPr>
            <w:tcW w:type="dxa" w:w="4608"/>
            <w:vAlign w:val="center"/>
            <w:tcMar>
              <w:top w:w="70" w:type="dxa"/>
              <w:start w:w="80" w:type="dxa"/>
              <w:bottom w:w="70" w:type="dxa"/>
              <w:end w:w="80" w:type="dxa"/>
            </w:tcMar>
          </w:tcPr>
          <w:p>
            <w:pPr>
              <w:spacing w:after="0" w:line="240" w:lineRule="auto"/>
            </w:pPr>
            <w:r/>
            <w:r>
              <w:rPr>
                <w:rFonts w:ascii="Aptos" w:hAnsi="Aptos"/>
                <w:b w:val="0"/>
                <w:color w:val="263238"/>
                <w:sz w:val="15"/>
              </w:rPr>
              <w:t>Britain’s settlement by Anglo-Saxons and Scots</w:t>
            </w:r>
          </w:p>
        </w:tc>
        <w:tc>
          <w:tcPr>
            <w:tcW w:type="dxa" w:w="5472"/>
            <w:vAlign w:val="center"/>
            <w:tcMar>
              <w:top w:w="70" w:type="dxa"/>
              <w:start w:w="80" w:type="dxa"/>
              <w:bottom w:w="70" w:type="dxa"/>
              <w:end w:w="80" w:type="dxa"/>
            </w:tcMar>
          </w:tcPr>
          <w:p>
            <w:pPr>
              <w:spacing w:after="0" w:line="240" w:lineRule="auto"/>
            </w:pPr>
            <w:r/>
            <w:r>
              <w:rPr>
                <w:rFonts w:ascii="Aptos" w:hAnsi="Aptos"/>
                <w:b w:val="0"/>
                <w:color w:val="263238"/>
                <w:sz w:val="15"/>
              </w:rPr>
              <w:t>Cycle B • Anglo-Saxon and Viking enquiry</w:t>
            </w:r>
          </w:p>
        </w:tc>
      </w:tr>
      <w:tr>
        <w:trPr>
          <w:cantSplit/>
        </w:trPr>
        <w:tc>
          <w:tcPr>
            <w:tcW w:type="dxa" w:w="460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Viking and Anglo-Saxon struggle for England</w:t>
            </w:r>
          </w:p>
        </w:tc>
        <w:tc>
          <w:tcPr>
            <w:tcW w:type="dxa" w:w="54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Cycle B • Anglo-Saxon and Viking enquiry</w:t>
            </w:r>
          </w:p>
        </w:tc>
      </w:tr>
      <w:tr>
        <w:trPr>
          <w:cantSplit/>
        </w:trPr>
        <w:tc>
          <w:tcPr>
            <w:tcW w:type="dxa" w:w="4608"/>
            <w:vAlign w:val="center"/>
            <w:tcMar>
              <w:top w:w="70" w:type="dxa"/>
              <w:start w:w="80" w:type="dxa"/>
              <w:bottom w:w="70" w:type="dxa"/>
              <w:end w:w="80" w:type="dxa"/>
            </w:tcMar>
          </w:tcPr>
          <w:p>
            <w:pPr>
              <w:spacing w:after="0" w:line="240" w:lineRule="auto"/>
            </w:pPr>
            <w:r/>
            <w:r>
              <w:rPr>
                <w:rFonts w:ascii="Aptos" w:hAnsi="Aptos"/>
                <w:b w:val="0"/>
                <w:color w:val="263238"/>
                <w:sz w:val="15"/>
              </w:rPr>
              <w:t>Local history study</w:t>
            </w:r>
          </w:p>
        </w:tc>
        <w:tc>
          <w:tcPr>
            <w:tcW w:type="dxa" w:w="5472"/>
            <w:vAlign w:val="center"/>
            <w:tcMar>
              <w:top w:w="70" w:type="dxa"/>
              <w:start w:w="80" w:type="dxa"/>
              <w:bottom w:w="70" w:type="dxa"/>
              <w:end w:w="80" w:type="dxa"/>
            </w:tcMar>
          </w:tcPr>
          <w:p>
            <w:pPr>
              <w:spacing w:after="0" w:line="240" w:lineRule="auto"/>
            </w:pPr>
            <w:r/>
            <w:r>
              <w:rPr>
                <w:rFonts w:ascii="Aptos" w:hAnsi="Aptos"/>
                <w:b w:val="0"/>
                <w:color w:val="263238"/>
                <w:sz w:val="15"/>
              </w:rPr>
              <w:t>Cycle B • Roman Ribchester/Lancashire with an explicit evidence strand</w:t>
            </w:r>
          </w:p>
        </w:tc>
      </w:tr>
      <w:tr>
        <w:trPr>
          <w:cantSplit/>
        </w:trPr>
        <w:tc>
          <w:tcPr>
            <w:tcW w:type="dxa" w:w="460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Aspect/theme in British history beyond 1066</w:t>
            </w:r>
          </w:p>
        </w:tc>
        <w:tc>
          <w:tcPr>
            <w:tcW w:type="dxa" w:w="54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Cycle A • Gunpowder Plot for Y3; evacuees; trade; selected person</w:t>
            </w:r>
          </w:p>
        </w:tc>
      </w:tr>
      <w:tr>
        <w:trPr>
          <w:cantSplit/>
        </w:trPr>
        <w:tc>
          <w:tcPr>
            <w:tcW w:type="dxa" w:w="4608"/>
            <w:vAlign w:val="center"/>
            <w:tcMar>
              <w:top w:w="70" w:type="dxa"/>
              <w:start w:w="80" w:type="dxa"/>
              <w:bottom w:w="70" w:type="dxa"/>
              <w:end w:w="80" w:type="dxa"/>
            </w:tcMar>
          </w:tcPr>
          <w:p>
            <w:pPr>
              <w:spacing w:after="0" w:line="240" w:lineRule="auto"/>
            </w:pPr>
            <w:r/>
            <w:r>
              <w:rPr>
                <w:rFonts w:ascii="Aptos" w:hAnsi="Aptos"/>
                <w:b w:val="0"/>
                <w:color w:val="263238"/>
                <w:sz w:val="15"/>
              </w:rPr>
              <w:t>Earliest civilisations + one depth study</w:t>
            </w:r>
          </w:p>
        </w:tc>
        <w:tc>
          <w:tcPr>
            <w:tcW w:type="dxa" w:w="5472"/>
            <w:vAlign w:val="center"/>
            <w:tcMar>
              <w:top w:w="70" w:type="dxa"/>
              <w:start w:w="80" w:type="dxa"/>
              <w:bottom w:w="70" w:type="dxa"/>
              <w:end w:w="80" w:type="dxa"/>
            </w:tcMar>
          </w:tcPr>
          <w:p>
            <w:pPr>
              <w:spacing w:after="0" w:line="240" w:lineRule="auto"/>
            </w:pPr>
            <w:r/>
            <w:r>
              <w:rPr>
                <w:rFonts w:ascii="Aptos" w:hAnsi="Aptos"/>
                <w:b w:val="0"/>
                <w:color w:val="263238"/>
                <w:sz w:val="15"/>
              </w:rPr>
              <w:t>Cycle C • overview plus Ancient Egypt</w:t>
            </w:r>
          </w:p>
        </w:tc>
      </w:tr>
      <w:tr>
        <w:trPr>
          <w:cantSplit/>
        </w:trPr>
        <w:tc>
          <w:tcPr>
            <w:tcW w:type="dxa" w:w="4608"/>
            <w:vAlign w:val="center"/>
            <w:tcMar>
              <w:top w:w="70" w:type="dxa"/>
              <w:start w:w="80" w:type="dxa"/>
              <w:bottom w:w="70" w:type="dxa"/>
              <w:end w:w="80" w:type="dxa"/>
            </w:tcMar>
            <w:shd w:fill="F7F8FA"/>
          </w:tcPr>
          <w:p>
            <w:pPr>
              <w:spacing w:after="0" w:line="240" w:lineRule="auto"/>
            </w:pPr>
            <w:r/>
            <w:r>
              <w:rPr>
                <w:rFonts w:ascii="Aptos" w:hAnsi="Aptos"/>
                <w:b w:val="0"/>
                <w:color w:val="263238"/>
                <w:sz w:val="15"/>
              </w:rPr>
              <w:t>Ancient Greece</w:t>
            </w:r>
          </w:p>
        </w:tc>
        <w:tc>
          <w:tcPr>
            <w:tcW w:type="dxa" w:w="5472"/>
            <w:vAlign w:val="center"/>
            <w:tcMar>
              <w:top w:w="70" w:type="dxa"/>
              <w:start w:w="80" w:type="dxa"/>
              <w:bottom w:w="70" w:type="dxa"/>
              <w:end w:w="80" w:type="dxa"/>
            </w:tcMar>
            <w:shd w:fill="F7F8FA"/>
          </w:tcPr>
          <w:p>
            <w:pPr>
              <w:spacing w:after="0" w:line="240" w:lineRule="auto"/>
            </w:pPr>
            <w:r/>
            <w:r>
              <w:rPr>
                <w:rFonts w:ascii="Aptos" w:hAnsi="Aptos"/>
                <w:b w:val="0"/>
                <w:color w:val="263238"/>
                <w:sz w:val="15"/>
              </w:rPr>
              <w:t>Cycle C • Greek life, achievements and influence</w:t>
            </w:r>
          </w:p>
        </w:tc>
      </w:tr>
      <w:tr>
        <w:trPr>
          <w:cantSplit/>
        </w:trPr>
        <w:tc>
          <w:tcPr>
            <w:tcW w:type="dxa" w:w="4608"/>
            <w:vAlign w:val="center"/>
            <w:tcMar>
              <w:top w:w="70" w:type="dxa"/>
              <w:start w:w="80" w:type="dxa"/>
              <w:bottom w:w="70" w:type="dxa"/>
              <w:end w:w="80" w:type="dxa"/>
            </w:tcMar>
          </w:tcPr>
          <w:p>
            <w:pPr>
              <w:spacing w:after="0" w:line="240" w:lineRule="auto"/>
            </w:pPr>
            <w:r/>
            <w:r>
              <w:rPr>
                <w:rFonts w:ascii="Aptos" w:hAnsi="Aptos"/>
                <w:b w:val="0"/>
                <w:color w:val="263238"/>
                <w:sz w:val="15"/>
              </w:rPr>
              <w:t>Non-European society contrasting with Britain</w:t>
            </w:r>
          </w:p>
        </w:tc>
        <w:tc>
          <w:tcPr>
            <w:tcW w:type="dxa" w:w="5472"/>
            <w:vAlign w:val="center"/>
            <w:tcMar>
              <w:top w:w="70" w:type="dxa"/>
              <w:start w:w="80" w:type="dxa"/>
              <w:bottom w:w="70" w:type="dxa"/>
              <w:end w:w="80" w:type="dxa"/>
            </w:tcMar>
          </w:tcPr>
          <w:p>
            <w:pPr>
              <w:spacing w:after="0" w:line="240" w:lineRule="auto"/>
            </w:pPr>
            <w:r/>
            <w:r>
              <w:rPr>
                <w:rFonts w:ascii="Aptos" w:hAnsi="Aptos"/>
                <w:b w:val="0"/>
                <w:color w:val="263238"/>
                <w:sz w:val="15"/>
              </w:rPr>
              <w:t>Cycle C • Maya civilisation</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A33B3B"/>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FBEAEA"/>
            <w:tcMar>
              <w:top w:w="90" w:type="dxa"/>
              <w:start w:w="110" w:type="dxa"/>
              <w:bottom w:w="90" w:type="dxa"/>
              <w:end w:w="110" w:type="dxa"/>
            </w:tcMar>
            <w:vAlign w:val="center"/>
          </w:tcPr>
          <w:p>
            <w:pPr>
              <w:spacing w:after="20"/>
            </w:pPr>
            <w:r/>
            <w:r>
              <w:rPr>
                <w:b/>
                <w:color w:val="A33B3B"/>
                <w:sz w:val="18"/>
              </w:rPr>
              <w:t xml:space="preserve">Cohort check  </w:t>
            </w:r>
            <w:r>
              <w:rPr>
                <w:color w:val="263238"/>
                <w:sz w:val="18"/>
              </w:rPr>
              <w:t>A rotation guarantees entitlement only when each pupil’s actual journey is checked. Older pupils will not automatically experience all three new cycles. Audit their previous units and use bridging or planned catch-up where a statutory area is missing.</w:t>
            </w:r>
          </w:p>
        </w:tc>
      </w:tr>
    </w:tbl>
    <w:p>
      <w:pPr>
        <w:spacing w:after="0" w:lineRule="exact" w:line="40"/>
      </w:pPr>
    </w:p>
    <w:tbl>
      <w:tblPr>
        <w:tblStyle w:val="TableGrid"/>
        <w:tblW w:type="auto" w:w="0"/>
        <w:jc w:val="center"/>
        <w:tblLayout w:type="fixed"/>
        <w:tblLook w:firstColumn="1" w:firstRow="1" w:lastColumn="0" w:lastRow="0" w:noHBand="0" w:noVBand="1" w:val="04A0"/>
      </w:tblPr>
      <w:tblGrid>
        <w:gridCol w:w="5119"/>
        <w:gridCol w:w="5119"/>
      </w:tblGrid>
      <w:tr>
        <w:trPr>
          <w:cantSplit/>
        </w:trPr>
        <w:tc>
          <w:tcPr>
            <w:tcW w:type="dxa" w:w="173"/>
            <w:shd w:fill="2B7A78"/>
            <w:vAlign w:val="center"/>
            <w:tcMar>
              <w:top w:w="70" w:type="dxa"/>
              <w:start w:w="80" w:type="dxa"/>
              <w:bottom w:w="70" w:type="dxa"/>
              <w:end w:w="80" w:type="dxa"/>
            </w:tcMar>
          </w:tcPr>
          <w:p>
            <w:pPr>
              <w:spacing w:after="0" w:line="240" w:lineRule="auto"/>
            </w:pPr>
            <w:r/>
            <w:r>
              <w:rPr>
                <w:rFonts w:ascii="Aptos" w:hAnsi="Aptos"/>
                <w:b w:val="0"/>
                <w:color w:val="FFFFFF"/>
                <w:sz w:val="2"/>
              </w:rPr>
            </w:r>
          </w:p>
        </w:tc>
        <w:tc>
          <w:tcPr>
            <w:tcW w:type="dxa" w:w="9864"/>
            <w:shd w:fill="E6F3F1"/>
            <w:tcMar>
              <w:top w:w="90" w:type="dxa"/>
              <w:start w:w="110" w:type="dxa"/>
              <w:bottom w:w="90" w:type="dxa"/>
              <w:end w:w="110" w:type="dxa"/>
            </w:tcMar>
            <w:vAlign w:val="center"/>
          </w:tcPr>
          <w:p>
            <w:pPr>
              <w:spacing w:after="20"/>
            </w:pPr>
            <w:r/>
            <w:r>
              <w:rPr>
                <w:b/>
                <w:color w:val="2B7A78"/>
                <w:sz w:val="18"/>
              </w:rPr>
              <w:t xml:space="preserve">Design strength  </w:t>
            </w:r>
            <w:r>
              <w:rPr>
                <w:color w:val="263238"/>
                <w:sz w:val="18"/>
              </w:rPr>
              <w:t>The sequence moves from familiar and local history towards broader national and global histories, while strengthening chronology, evidence, explanation, change, comparison, significance and interpretation.</w:t>
            </w:r>
          </w:p>
        </w:tc>
      </w:tr>
    </w:tbl>
    <w:p>
      <w:pPr>
        <w:spacing w:after="0" w:lineRule="exact" w:line="40"/>
      </w:pPr>
    </w:p>
    <w:sectPr w:rsidR="00FC693F" w:rsidRPr="0006063C" w:rsidSect="00034616">
      <w:headerReference w:type="default" r:id="rId9"/>
      <w:footerReference w:type="default" r:id="rId10"/>
      <w:pgSz w:w="11909" w:h="16834"/>
      <w:pgMar w:top="792" w:right="835" w:bottom="792" w:left="83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color w:val="687386"/>
        <w:sz w:val="15"/>
      </w:rPr>
      <w:t xml:space="preserve">Learning to Thrive   •   Interim progression: Years 1–6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687386"/>
        <w:sz w:val="15"/>
      </w:rPr>
      <w:t>ST MARY’S RC PRIMARY SCHOOL  •  HISTORY 2026–27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47" w:lineRule="auto"/>
    </w:pPr>
    <w:rPr>
      <w:rFonts w:ascii="Aptos" w:hAnsi="Aptos"/>
      <w:color w:val="263238"/>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40" w:after="80"/>
      <w:outlineLvl w:val="0"/>
    </w:pPr>
    <w:rPr>
      <w:rFonts w:asciiTheme="majorHAnsi" w:eastAsiaTheme="majorEastAsia" w:hAnsiTheme="majorHAnsi" w:cstheme="majorBidi" w:ascii="Aptos Display" w:hAnsi="Aptos Display"/>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7A1F3D"/>
      <w:sz w:val="26"/>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ascii="Aptos Display" w:hAnsi="Aptos Display"/>
      <w:b/>
      <w:bCs/>
      <w:color w:val="2B7A78"/>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before="140"/>
      <w:contextualSpacing/>
    </w:pPr>
    <w:rPr>
      <w:rFonts w:asciiTheme="majorHAnsi" w:eastAsiaTheme="majorEastAsia" w:hAnsiTheme="majorHAnsi" w:cstheme="majorBidi" w:ascii="Aptos Display" w:hAnsi="Aptos Display"/>
      <w:b/>
      <w:color w:val="17365D"/>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ubstantive">
    <w:name w:val="Substantive"/>
    <w:pPr>
      <w:spacing w:after="40"/>
    </w:pPr>
    <w:rPr>
      <w:rFonts w:ascii="Aptos" w:hAnsi="Aptos"/>
      <w:b/>
      <w:color w:val="2B7A78"/>
      <w:sz w:val="18"/>
    </w:rPr>
  </w:style>
  <w:style w:type="paragraph" w:customStyle="1" w:styleId="Disciplinary">
    <w:name w:val="Disciplinary"/>
    <w:pPr>
      <w:spacing w:after="40"/>
    </w:pPr>
    <w:rPr>
      <w:rFonts w:ascii="Aptos" w:hAnsi="Aptos"/>
      <w:b/>
      <w:color w:val="7A1F3D"/>
      <w:sz w:val="18"/>
    </w:rPr>
  </w:style>
  <w:style w:type="paragraph" w:customStyle="1" w:styleId="Assessment">
    <w:name w:val="Assessment"/>
    <w:pPr>
      <w:spacing w:after="40"/>
    </w:pPr>
    <w:rPr>
      <w:rFonts w:ascii="Aptos" w:hAnsi="Aptos"/>
      <w:b/>
      <w:color w:val="3C78A8"/>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